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3FDD6" w14:textId="77777777" w:rsidR="00CE1BA1" w:rsidRDefault="00967C92">
      <w:pPr>
        <w:pStyle w:val="Title"/>
      </w:pPr>
      <w:r>
        <w:t>IPCCC 2026 — Abstract, Revision 4</w:t>
      </w:r>
    </w:p>
    <w:p w14:paraId="388DB81C" w14:textId="77777777" w:rsidR="00CE1BA1" w:rsidRDefault="00967C92">
      <w:pPr>
        <w:pStyle w:val="Subtitle"/>
      </w:pPr>
      <w:r>
        <w:t>5D H-NGAC: provenance-aware authorization on FPGA. Terminology corrected; H-NGAC and HyperNGAC separated.</w:t>
      </w:r>
    </w:p>
    <w:p w14:paraId="2FDCDAF2" w14:textId="77777777" w:rsidR="00CE1BA1" w:rsidRDefault="00967C92">
      <w:pPr>
        <w:pStyle w:val="Date"/>
      </w:pPr>
      <w:r>
        <w:t>7 August 2026</w:t>
      </w:r>
    </w:p>
    <w:p w14:paraId="46C84869" w14:textId="77777777" w:rsidR="00CE1BA1" w:rsidRDefault="00967C92">
      <w:pPr>
        <w:pStyle w:val="Heading1"/>
      </w:pPr>
      <w:bookmarkStart w:id="0" w:name="title-options"/>
      <w:r>
        <w:t>Title options</w:t>
      </w:r>
    </w:p>
    <w:p w14:paraId="0C8EBD76" w14:textId="77777777" w:rsidR="00CE1BA1" w:rsidRDefault="00967C92">
      <w:pPr>
        <w:pStyle w:val="FirstParagraph"/>
      </w:pPr>
      <w:r>
        <w:rPr>
          <w:b/>
          <w:bCs/>
        </w:rPr>
        <w:t>Use option 1.</w:t>
      </w:r>
      <w:r>
        <w:t xml:space="preserve"> Since hardware belongs to DCAS and hypergraph belongs to BigData, dimensionality is this paper’s only unclaimed contribution word, and option 1 is the only title that leads with it.</w:t>
      </w:r>
    </w:p>
    <w:p w14:paraId="5B071F1F" w14:textId="77777777" w:rsidR="00CE1BA1" w:rsidRDefault="00967C92">
      <w:pPr>
        <w:pStyle w:val="Compact"/>
        <w:numPr>
          <w:ilvl w:val="0"/>
          <w:numId w:val="2"/>
        </w:numPr>
      </w:pPr>
      <w:r>
        <w:rPr>
          <w:b/>
          <w:bCs/>
        </w:rPr>
        <w:t>Security Dimensionality at Zero Time Cost: A Provenance-Aware NGAC Authorization Primitive on FPGA</w:t>
      </w:r>
      <w:r>
        <w:t xml:space="preserve"> ✅</w:t>
      </w:r>
    </w:p>
    <w:p w14:paraId="3B41DE80" w14:textId="77777777" w:rsidR="00CE1BA1" w:rsidRDefault="00967C92">
      <w:pPr>
        <w:pStyle w:val="Compact"/>
        <w:numPr>
          <w:ilvl w:val="0"/>
          <w:numId w:val="2"/>
        </w:numPr>
      </w:pPr>
      <w:r>
        <w:rPr>
          <w:strike/>
        </w:rPr>
        <w:t>Three Attack Classes for the Area Cost of One: Hardware-Accelerated 5D NGAC Authorization for Real-Time Robotics</w:t>
      </w:r>
      <w:r>
        <w:t xml:space="preserve"> — </w:t>
      </w:r>
      <w:r>
        <w:rPr>
          <w:b/>
          <w:bCs/>
        </w:rPr>
        <w:t>do not use.</w:t>
      </w:r>
      <w:r>
        <w:t xml:space="preserve"> Two problems. “Three attack classes for the area of one” asserts a three-way claim that 3D synthesis does not support, since 3D was never synthesized. And “Hardware-Accelerated” is almost verbatim the DCAS title, which invites the reviewer to ask what is new.</w:t>
      </w:r>
    </w:p>
    <w:p w14:paraId="6901A01A" w14:textId="77777777" w:rsidR="00CE1BA1" w:rsidRDefault="00967C92">
      <w:pPr>
        <w:pStyle w:val="Compact"/>
        <w:numPr>
          <w:ilvl w:val="0"/>
          <w:numId w:val="2"/>
        </w:numPr>
      </w:pPr>
      <w:r>
        <w:rPr>
          <w:b/>
          <w:bCs/>
        </w:rPr>
        <w:t>Bounded Authorization for Real-Time Robotic Systems: State- and Provenance-Aware NGAC in Reconfigurable Logic</w:t>
      </w:r>
      <w:r>
        <w:t xml:space="preserve"> </w:t>
      </w:r>
      <w:r>
        <w:t>— safe fallback. Accurate, but leads with boundedness, which DCAS already argued, rather than with the new result.</w:t>
      </w:r>
    </w:p>
    <w:p w14:paraId="7E67E9D9" w14:textId="77777777" w:rsidR="00CE1BA1" w:rsidRDefault="00967C92">
      <w:pPr>
        <w:pStyle w:val="Heading1"/>
      </w:pPr>
      <w:bookmarkStart w:id="1" w:name="authors"/>
      <w:bookmarkEnd w:id="0"/>
      <w:r>
        <w:t>Authors</w:t>
      </w:r>
    </w:p>
    <w:p w14:paraId="738312F4" w14:textId="77777777" w:rsidR="00CE1BA1" w:rsidRDefault="00967C92">
      <w:pPr>
        <w:pStyle w:val="FirstParagraph"/>
      </w:pPr>
      <w:r>
        <w:t>Hassan Karim, Omar Faruque, Abdel-Hameed A. Badawy, Sai Sitharaman, Deepti Gupta</w:t>
      </w:r>
    </w:p>
    <w:tbl>
      <w:tblPr>
        <w:tblStyle w:val="Table"/>
        <w:tblW w:w="0" w:type="auto"/>
        <w:tblLook w:val="0020" w:firstRow="1" w:lastRow="0" w:firstColumn="0" w:lastColumn="0" w:noHBand="0" w:noVBand="0"/>
      </w:tblPr>
      <w:tblGrid>
        <w:gridCol w:w="2911"/>
        <w:gridCol w:w="3391"/>
      </w:tblGrid>
      <w:tr w:rsidR="00CE1BA1" w14:paraId="1877E117" w14:textId="77777777" w:rsidTr="00CE1BA1">
        <w:trPr>
          <w:cnfStyle w:val="100000000000" w:firstRow="1" w:lastRow="0" w:firstColumn="0" w:lastColumn="0" w:oddVBand="0" w:evenVBand="0" w:oddHBand="0" w:evenHBand="0" w:firstRowFirstColumn="0" w:firstRowLastColumn="0" w:lastRowFirstColumn="0" w:lastRowLastColumn="0"/>
          <w:tblHeader/>
        </w:trPr>
        <w:tc>
          <w:tcPr>
            <w:tcW w:w="0" w:type="auto"/>
          </w:tcPr>
          <w:p w14:paraId="067B14DA" w14:textId="77777777" w:rsidR="00CE1BA1" w:rsidRDefault="00967C92">
            <w:pPr>
              <w:pStyle w:val="Compact"/>
            </w:pPr>
            <w:r>
              <w:t>Author</w:t>
            </w:r>
          </w:p>
        </w:tc>
        <w:tc>
          <w:tcPr>
            <w:tcW w:w="0" w:type="auto"/>
          </w:tcPr>
          <w:p w14:paraId="3ADBAC90" w14:textId="77777777" w:rsidR="00CE1BA1" w:rsidRDefault="00967C92">
            <w:pPr>
              <w:pStyle w:val="Compact"/>
            </w:pPr>
            <w:r>
              <w:t>Affiliation</w:t>
            </w:r>
          </w:p>
        </w:tc>
      </w:tr>
      <w:tr w:rsidR="00CE1BA1" w14:paraId="42865DD4" w14:textId="77777777">
        <w:tc>
          <w:tcPr>
            <w:tcW w:w="0" w:type="auto"/>
          </w:tcPr>
          <w:p w14:paraId="4A02DB7D" w14:textId="77777777" w:rsidR="00CE1BA1" w:rsidRDefault="00967C92">
            <w:pPr>
              <w:pStyle w:val="Compact"/>
            </w:pPr>
            <w:r>
              <w:t>Hassan Karim</w:t>
            </w:r>
          </w:p>
        </w:tc>
        <w:tc>
          <w:tcPr>
            <w:tcW w:w="0" w:type="auto"/>
          </w:tcPr>
          <w:p w14:paraId="6AAB23B9" w14:textId="77777777" w:rsidR="00CE1BA1" w:rsidRDefault="00967C92">
            <w:pPr>
              <w:pStyle w:val="Compact"/>
            </w:pPr>
            <w:r>
              <w:t>Stable Cyber LLC</w:t>
            </w:r>
          </w:p>
        </w:tc>
      </w:tr>
      <w:tr w:rsidR="00CE1BA1" w14:paraId="0B3CC35E" w14:textId="77777777">
        <w:tc>
          <w:tcPr>
            <w:tcW w:w="0" w:type="auto"/>
          </w:tcPr>
          <w:p w14:paraId="37CA5DE4" w14:textId="77777777" w:rsidR="00CE1BA1" w:rsidRDefault="00967C92">
            <w:pPr>
              <w:pStyle w:val="Compact"/>
            </w:pPr>
            <w:r>
              <w:t>Omar Faruque</w:t>
            </w:r>
          </w:p>
        </w:tc>
        <w:tc>
          <w:tcPr>
            <w:tcW w:w="0" w:type="auto"/>
          </w:tcPr>
          <w:p w14:paraId="6980BF6E" w14:textId="77777777" w:rsidR="00CE1BA1" w:rsidRDefault="00967C92">
            <w:pPr>
              <w:pStyle w:val="Compact"/>
            </w:pPr>
            <w:r>
              <w:t>Florida International University</w:t>
            </w:r>
          </w:p>
        </w:tc>
      </w:tr>
      <w:tr w:rsidR="00CE1BA1" w14:paraId="3CBC2C32" w14:textId="77777777">
        <w:tc>
          <w:tcPr>
            <w:tcW w:w="0" w:type="auto"/>
          </w:tcPr>
          <w:p w14:paraId="351FAFE9" w14:textId="77777777" w:rsidR="00CE1BA1" w:rsidRDefault="00967C92">
            <w:pPr>
              <w:pStyle w:val="Compact"/>
            </w:pPr>
            <w:r>
              <w:t>Abdel-Hameed A. Badawy</w:t>
            </w:r>
          </w:p>
        </w:tc>
        <w:tc>
          <w:tcPr>
            <w:tcW w:w="0" w:type="auto"/>
          </w:tcPr>
          <w:p w14:paraId="1BAC516B" w14:textId="77777777" w:rsidR="00CE1BA1" w:rsidRDefault="00967C92">
            <w:pPr>
              <w:pStyle w:val="Compact"/>
            </w:pPr>
            <w:r>
              <w:t>Florida International University</w:t>
            </w:r>
          </w:p>
        </w:tc>
      </w:tr>
      <w:tr w:rsidR="00CE1BA1" w14:paraId="43D67A0B" w14:textId="77777777">
        <w:tc>
          <w:tcPr>
            <w:tcW w:w="0" w:type="auto"/>
          </w:tcPr>
          <w:p w14:paraId="19F84818" w14:textId="77777777" w:rsidR="00CE1BA1" w:rsidRDefault="00967C92">
            <w:pPr>
              <w:pStyle w:val="Compact"/>
            </w:pPr>
            <w:r>
              <w:t>Sai Sitharaman</w:t>
            </w:r>
          </w:p>
        </w:tc>
        <w:tc>
          <w:tcPr>
            <w:tcW w:w="0" w:type="auto"/>
          </w:tcPr>
          <w:p w14:paraId="64F27099" w14:textId="77777777" w:rsidR="00CE1BA1" w:rsidRDefault="00967C92">
            <w:pPr>
              <w:pStyle w:val="Compact"/>
            </w:pPr>
            <w:r>
              <w:t>[confirm]</w:t>
            </w:r>
          </w:p>
        </w:tc>
      </w:tr>
      <w:tr w:rsidR="00CE1BA1" w14:paraId="281CE7CF" w14:textId="77777777">
        <w:tc>
          <w:tcPr>
            <w:tcW w:w="0" w:type="auto"/>
          </w:tcPr>
          <w:p w14:paraId="1614D762" w14:textId="77777777" w:rsidR="00CE1BA1" w:rsidRDefault="00967C92">
            <w:pPr>
              <w:pStyle w:val="Compact"/>
            </w:pPr>
            <w:r>
              <w:t>Deepti Gupta</w:t>
            </w:r>
          </w:p>
        </w:tc>
        <w:tc>
          <w:tcPr>
            <w:tcW w:w="0" w:type="auto"/>
          </w:tcPr>
          <w:p w14:paraId="389786D8" w14:textId="77777777" w:rsidR="00CE1BA1" w:rsidRDefault="00967C92">
            <w:pPr>
              <w:pStyle w:val="Compact"/>
            </w:pPr>
            <w:r>
              <w:t>[confirm]</w:t>
            </w:r>
          </w:p>
        </w:tc>
      </w:tr>
    </w:tbl>
    <w:p w14:paraId="77F5B3C8" w14:textId="77777777" w:rsidR="00CE1BA1" w:rsidRDefault="00967C92">
      <w:pPr>
        <w:pStyle w:val="BlockText"/>
      </w:pPr>
      <w:r>
        <w:t>Check how Badawy renders his name on recent papers (Abdel-Hameed A. Badawy vs Abdel-Hameed Badawy) and confirm the two remaining affiliations before submitting.</w:t>
      </w:r>
    </w:p>
    <w:p w14:paraId="27FEF9B7" w14:textId="77777777" w:rsidR="00CE1BA1" w:rsidRDefault="00967C92">
      <w:pPr>
        <w:pStyle w:val="Heading1"/>
      </w:pPr>
      <w:bookmarkStart w:id="2" w:name="abstract-229-words"/>
      <w:bookmarkEnd w:id="1"/>
      <w:r>
        <w:t>Abstract (229 words)</w:t>
      </w:r>
    </w:p>
    <w:p w14:paraId="7BBEB745" w14:textId="3B159469" w:rsidR="00CE1BA1" w:rsidRDefault="00967C92">
      <w:pPr>
        <w:pStyle w:val="FirstParagraph"/>
      </w:pPr>
      <w:r>
        <w:t xml:space="preserve">Real-time robotic systems often leave authorization out of the control path because </w:t>
      </w:r>
      <w:r>
        <w:t>software</w:t>
      </w:r>
      <w:r w:rsidR="00942428">
        <w:t>-based</w:t>
      </w:r>
      <w:r>
        <w:t xml:space="preserve"> policy engine</w:t>
      </w:r>
      <w:r w:rsidR="00942428">
        <w:t>s cannot</w:t>
      </w:r>
      <w:r>
        <w:t xml:space="preserve"> guarantee</w:t>
      </w:r>
      <w:r>
        <w:t xml:space="preserve"> a decision within a fixed cycle budget. The </w:t>
      </w:r>
      <w:r w:rsidR="00942428">
        <w:t xml:space="preserve">non-deterministic variance </w:t>
      </w:r>
      <w:r>
        <w:t>comes from operating system contention, not policy evaluation, so a faster engine does not tighten it.</w:t>
      </w:r>
    </w:p>
    <w:p w14:paraId="5E89D171" w14:textId="77777777" w:rsidR="00CE1BA1" w:rsidRDefault="00967C92">
      <w:pPr>
        <w:pStyle w:val="BodyText"/>
      </w:pPr>
      <w:r>
        <w:t xml:space="preserve">H-NGAC compiles NGAC policy graphs into fixed-width bitmasks, so an authorization decision reduces to a chain of bitwise AND operations. We present 5D H-NGAC, which adds two dimensions and synthesizes the result to reconfigurable logic: system state, closing safety-interlock bypass, and </w:t>
      </w:r>
      <w:r>
        <w:lastRenderedPageBreak/>
        <w:t>command provenance, closing injection from nodes that hold valid DDS credentials but an unauthorized source type. Both are CVE-anchored classes that identity-based authorization admits.</w:t>
      </w:r>
    </w:p>
    <w:p w14:paraId="6834D429" w14:textId="77777777" w:rsidR="00CE1BA1" w:rsidRDefault="00967C92">
      <w:pPr>
        <w:pStyle w:val="BodyText"/>
      </w:pPr>
      <w:r>
        <w:t xml:space="preserve">Synthesized with Vitis HLS to a Zynq-7020 at 100 MHz, the four- and five-dimensional kernels resolve in an identical number of cycles at every policy size tested, with minimum, mean and maximum equal at 12 + n/2 cycles for n rules. The fifth dimension costs 524 LUTs and no BRAM or DSP; in software it raises per-rule cost from 0.645 to 1.220 cycles. RBAC and DAG-NGAC baselines resolve faster only by admitting every state-violating request in our corpus; the kernel blocks 18,878 ROS 2 injection attempts with </w:t>
      </w:r>
      <w:r>
        <w:t>no false positives and verifies functionally on PYNQ-Z1 silicon.</w:t>
      </w:r>
    </w:p>
    <w:p w14:paraId="4DBC0940" w14:textId="77777777" w:rsidR="00CE1BA1" w:rsidRDefault="00967C92">
      <w:pPr>
        <w:pStyle w:val="BodyText"/>
      </w:pPr>
      <w:r>
        <w:t>A security dimension is therefore free in time and nearly free in area, which makes the authorization worst case a synthesis parameter rather than a measurement.</w:t>
      </w:r>
    </w:p>
    <w:p w14:paraId="41BBCCB8" w14:textId="77777777" w:rsidR="00CE1BA1" w:rsidRDefault="00967C92">
      <w:pPr>
        <w:pStyle w:val="BodyText"/>
      </w:pPr>
      <w:r>
        <w:rPr>
          <w:b/>
          <w:bCs/>
        </w:rPr>
        <w:t>If the submission form enforces a hard 220-word cap,</w:t>
      </w:r>
      <w:r>
        <w:t xml:space="preserve"> delete “and verifies functionally on PYNQ-Z1 silicon” (6 words), “tested” (1 word), and “Both are CVE-anchored classes that identity-based authorization admits” (9 words, but it is the only signal that a threat model exists). The first two land at 222; all three land at 213.</w:t>
      </w:r>
    </w:p>
    <w:p w14:paraId="5CA97AF8" w14:textId="77777777" w:rsidR="00CE1BA1" w:rsidRDefault="00967C92">
      <w:pPr>
        <w:pStyle w:val="Heading2"/>
      </w:pPr>
      <w:bookmarkStart w:id="3" w:name="terminology-corrections-in-this-revision"/>
      <w:r>
        <w:t>Terminology corrections in this revision</w:t>
      </w:r>
    </w:p>
    <w:p w14:paraId="6CDF6AE9" w14:textId="77777777" w:rsidR="00CE1BA1" w:rsidRDefault="00967C92">
      <w:pPr>
        <w:pStyle w:val="FirstParagraph"/>
      </w:pPr>
      <w:r>
        <w:t xml:space="preserve">Two errors in revision 3, both introduced by carrying the original draft’s wording forward without checking it against </w:t>
      </w:r>
      <w:r>
        <w:rPr>
          <w:rStyle w:val="VerbatimChar"/>
        </w:rPr>
        <w:t>docs/canonical-context.md</w:t>
      </w:r>
      <w:r>
        <w:t>.</w:t>
      </w:r>
    </w:p>
    <w:p w14:paraId="52155F49" w14:textId="77777777" w:rsidR="00CE1BA1" w:rsidRDefault="00967C92">
      <w:pPr>
        <w:pStyle w:val="BodyText"/>
      </w:pPr>
      <w:r>
        <w:rPr>
          <w:b/>
          <w:bCs/>
        </w:rPr>
        <w:t>“Compiles NGAC policy hypergraphs” was wrong.</w:t>
      </w:r>
      <w:r>
        <w:t xml:space="preserve"> </w:t>
      </w:r>
      <w:r>
        <w:rPr>
          <w:rStyle w:val="VerbatimChar"/>
        </w:rPr>
        <w:t>canonical-context.md</w:t>
      </w:r>
      <w:r>
        <w:t xml:space="preserve"> says H-NGAC compiles NGAC policy </w:t>
      </w:r>
      <w:r>
        <w:rPr>
          <w:b/>
          <w:bCs/>
        </w:rPr>
        <w:t>graphs</w:t>
      </w:r>
      <w:r>
        <w:t xml:space="preserve">. “Hypergraph” </w:t>
      </w:r>
      <w:r>
        <w:t>is HyperNGAC’s framing, from BigData 2025, which is a different system solving a different problem (batch privilege analysis, not per-decision authorization). Using it here merged two research lines that need to stay distinct. Now reads “policy graphs.”</w:t>
      </w:r>
    </w:p>
    <w:p w14:paraId="18F54A10" w14:textId="77777777" w:rsidR="00CE1BA1" w:rsidRDefault="00967C92">
      <w:pPr>
        <w:pStyle w:val="BodyText"/>
      </w:pPr>
      <w:r>
        <w:rPr>
          <w:b/>
          <w:bCs/>
        </w:rPr>
        <w:t>“We present H-NGAC” over-claimed against our own published work.</w:t>
      </w:r>
      <w:r>
        <w:t xml:space="preserve"> The H is </w:t>
      </w:r>
      <w:r>
        <w:rPr>
          <w:b/>
          <w:bCs/>
        </w:rPr>
        <w:t>Hardware</w:t>
      </w:r>
      <w:r>
        <w:t xml:space="preserve">, and H-NGAC was presented at DCAS 2026. This paper does not present it, it extends it. The abstract now presents </w:t>
      </w:r>
      <w:r>
        <w:rPr>
          <w:b/>
          <w:bCs/>
        </w:rPr>
        <w:t>5D H-NGAC</w:t>
      </w:r>
      <w:r>
        <w:t>, which names the delta rather than reasserting the base. This matters more than it looks: IPCCC reviewers will have the DCAS paper in front of them because we cite it, and “we present” against a published primitive is the kind of thing that reads as self-plagiarism even when it is only loose wording.</w:t>
      </w:r>
    </w:p>
    <w:p w14:paraId="152719C9" w14:textId="77777777" w:rsidR="00CE1BA1" w:rsidRDefault="00967C92">
      <w:pPr>
        <w:pStyle w:val="BodyText"/>
      </w:pPr>
      <w:r>
        <w:rPr>
          <w:b/>
          <w:bCs/>
        </w:rPr>
        <w:t>Consequence for the framing.</w:t>
      </w:r>
      <w:r>
        <w:t xml:space="preserve"> Since hardware is DCAS’s contribution and hypergraph is BigData’s, the contribution word for this paper is </w:t>
      </w:r>
      <w:r>
        <w:rPr>
          <w:b/>
          <w:bCs/>
        </w:rPr>
        <w:t>dimensionality</w:t>
      </w:r>
      <w:r>
        <w:t>. Title option 1 already leads with it. Options 2 and 3 do not, and option 2 additionally asserts a three-way claim that 3D synthesis does not yet support.</w:t>
      </w:r>
    </w:p>
    <w:p w14:paraId="181502EC" w14:textId="77777777" w:rsidR="00CE1BA1" w:rsidRDefault="00967C92">
      <w:pPr>
        <w:pStyle w:val="BodyText"/>
      </w:pPr>
      <w:r>
        <w:rPr>
          <w:b/>
          <w:bCs/>
        </w:rPr>
        <w:t>Also changed:</w:t>
      </w:r>
      <w:r>
        <w:t xml:space="preserve"> “NGAC graph baselines” became “DAG-NGAC baselines,” giving the INCITS 565 reference model a name so the contrast with H-NGAC is explicit rather than implied.</w:t>
      </w:r>
    </w:p>
    <w:p w14:paraId="791DD579" w14:textId="77777777" w:rsidR="00CE1BA1" w:rsidRDefault="00967C92">
      <w:pPr>
        <w:pStyle w:val="Heading1"/>
      </w:pPr>
      <w:bookmarkStart w:id="4" w:name="keywords"/>
      <w:bookmarkEnd w:id="2"/>
      <w:bookmarkEnd w:id="3"/>
      <w:r>
        <w:t>Keywords</w:t>
      </w:r>
    </w:p>
    <w:p w14:paraId="08937693" w14:textId="77777777" w:rsidR="00CE1BA1" w:rsidRDefault="00967C92">
      <w:pPr>
        <w:pStyle w:val="FirstParagraph"/>
      </w:pPr>
      <w:r>
        <w:t>Access control, NGAC, FPGA, high-level synthesis, real-time systems, robotics, ROS 2, worst-case execution time, provenance, cyber-physical security</w:t>
      </w:r>
    </w:p>
    <w:p w14:paraId="1C38A35F" w14:textId="77777777" w:rsidR="00CE1BA1" w:rsidRDefault="00967C92">
      <w:pPr>
        <w:pStyle w:val="Heading1"/>
      </w:pPr>
      <w:bookmarkStart w:id="5" w:name="Xec5eee79d86060e5df4ac2df590b003b11a0f8e"/>
      <w:bookmarkEnd w:id="4"/>
      <w:r>
        <w:t>The threat model, and what is measured against it</w:t>
      </w:r>
    </w:p>
    <w:p w14:paraId="43E02F4E" w14:textId="77777777" w:rsidR="00CE1BA1" w:rsidRDefault="00967C92">
      <w:pPr>
        <w:pStyle w:val="FirstParagraph"/>
      </w:pPr>
      <w:r>
        <w:t xml:space="preserve">This exists and is CVE-anchored. It lives in </w:t>
      </w:r>
      <w:r>
        <w:rPr>
          <w:rStyle w:val="VerbatimChar"/>
        </w:rPr>
        <w:t>docs/canonical-context.md</w:t>
      </w:r>
      <w:r>
        <w:t xml:space="preserve"> (attack class definitions) and </w:t>
      </w:r>
      <w:r>
        <w:rPr>
          <w:rStyle w:val="VerbatimChar"/>
        </w:rPr>
        <w:t>docs/evidence-record-2026-04-18.md</w:t>
      </w:r>
      <w:r>
        <w:t xml:space="preserve"> (evidence blocks 3 and 5). The abstract compresses it to one </w:t>
      </w:r>
      <w:r>
        <w:lastRenderedPageBreak/>
        <w:t>clause, per the corpus convention of omitting complete threat-model definitions, but the manuscript should carry the full table.</w:t>
      </w:r>
    </w:p>
    <w:p w14:paraId="0A839B3B" w14:textId="77777777" w:rsidR="00CE1BA1" w:rsidRDefault="00967C92">
      <w:pPr>
        <w:pStyle w:val="BodyText"/>
      </w:pPr>
      <w:r>
        <w:t>Integer numbering is retired as of 2026-08-07. Use these names.</w:t>
      </w:r>
    </w:p>
    <w:tbl>
      <w:tblPr>
        <w:tblStyle w:val="Table"/>
        <w:tblW w:w="5000" w:type="pct"/>
        <w:tblLayout w:type="fixed"/>
        <w:tblLook w:val="0020" w:firstRow="1" w:lastRow="0" w:firstColumn="0" w:lastColumn="0" w:noHBand="0" w:noVBand="0"/>
      </w:tblPr>
      <w:tblGrid>
        <w:gridCol w:w="2204"/>
        <w:gridCol w:w="2203"/>
        <w:gridCol w:w="2203"/>
        <w:gridCol w:w="2203"/>
        <w:gridCol w:w="2203"/>
      </w:tblGrid>
      <w:tr w:rsidR="00CE1BA1" w14:paraId="29F3BDE7" w14:textId="77777777" w:rsidTr="00CE1BA1">
        <w:trPr>
          <w:cnfStyle w:val="100000000000" w:firstRow="1" w:lastRow="0" w:firstColumn="0" w:lastColumn="0" w:oddVBand="0" w:evenVBand="0" w:oddHBand="0" w:evenHBand="0" w:firstRowFirstColumn="0" w:firstRowLastColumn="0" w:lastRowFirstColumn="0" w:lastRowLastColumn="0"/>
          <w:tblHeader/>
        </w:trPr>
        <w:tc>
          <w:tcPr>
            <w:tcW w:w="1584" w:type="dxa"/>
          </w:tcPr>
          <w:p w14:paraId="75E6DC61" w14:textId="77777777" w:rsidR="00CE1BA1" w:rsidRDefault="00967C92">
            <w:pPr>
              <w:pStyle w:val="Compact"/>
            </w:pPr>
            <w:r>
              <w:t>Attack class</w:t>
            </w:r>
          </w:p>
        </w:tc>
        <w:tc>
          <w:tcPr>
            <w:tcW w:w="1584" w:type="dxa"/>
          </w:tcPr>
          <w:p w14:paraId="34A16D0D" w14:textId="77777777" w:rsidR="00CE1BA1" w:rsidRDefault="00967C92">
            <w:pPr>
              <w:pStyle w:val="Compact"/>
            </w:pPr>
            <w:r>
              <w:t>Closed by</w:t>
            </w:r>
          </w:p>
        </w:tc>
        <w:tc>
          <w:tcPr>
            <w:tcW w:w="1584" w:type="dxa"/>
          </w:tcPr>
          <w:p w14:paraId="2FE15049" w14:textId="77777777" w:rsidR="00CE1BA1" w:rsidRDefault="00967C92">
            <w:pPr>
              <w:pStyle w:val="Compact"/>
            </w:pPr>
            <w:r>
              <w:t>What the attacker does</w:t>
            </w:r>
          </w:p>
        </w:tc>
        <w:tc>
          <w:tcPr>
            <w:tcW w:w="1584" w:type="dxa"/>
          </w:tcPr>
          <w:p w14:paraId="71D1BBB6" w14:textId="77777777" w:rsidR="00CE1BA1" w:rsidRDefault="00967C92">
            <w:pPr>
              <w:pStyle w:val="Compact"/>
            </w:pPr>
            <w:r>
              <w:t>CVE anchor</w:t>
            </w:r>
          </w:p>
        </w:tc>
        <w:tc>
          <w:tcPr>
            <w:tcW w:w="1584" w:type="dxa"/>
          </w:tcPr>
          <w:p w14:paraId="161B21FE" w14:textId="77777777" w:rsidR="00CE1BA1" w:rsidRDefault="00967C92">
            <w:pPr>
              <w:pStyle w:val="Compact"/>
            </w:pPr>
            <w:r>
              <w:t>Measured evidence</w:t>
            </w:r>
          </w:p>
        </w:tc>
      </w:tr>
      <w:tr w:rsidR="00CE1BA1" w14:paraId="0C7808DB" w14:textId="77777777">
        <w:tc>
          <w:tcPr>
            <w:tcW w:w="1584" w:type="dxa"/>
          </w:tcPr>
          <w:p w14:paraId="06C91C57" w14:textId="77777777" w:rsidR="00CE1BA1" w:rsidRDefault="00967C92">
            <w:pPr>
              <w:pStyle w:val="Compact"/>
            </w:pPr>
            <w:r>
              <w:rPr>
                <w:b/>
                <w:bCs/>
              </w:rPr>
              <w:t>Unauthorized access</w:t>
            </w:r>
          </w:p>
        </w:tc>
        <w:tc>
          <w:tcPr>
            <w:tcW w:w="1584" w:type="dxa"/>
          </w:tcPr>
          <w:p w14:paraId="6C50EBC7" w14:textId="77777777" w:rsidR="00CE1BA1" w:rsidRDefault="00967C92">
            <w:pPr>
              <w:pStyle w:val="Compact"/>
            </w:pPr>
            <w:r>
              <w:t>3D, subject/object/attribute</w:t>
            </w:r>
          </w:p>
        </w:tc>
        <w:tc>
          <w:tcPr>
            <w:tcW w:w="1584" w:type="dxa"/>
          </w:tcPr>
          <w:p w14:paraId="777217A4" w14:textId="77777777" w:rsidR="00CE1BA1" w:rsidRDefault="00967C92">
            <w:pPr>
              <w:pStyle w:val="Compact"/>
            </w:pPr>
            <w:r>
              <w:t>Acts as an unprivileged agent or a hijacked session</w:t>
            </w:r>
          </w:p>
        </w:tc>
        <w:tc>
          <w:tcPr>
            <w:tcW w:w="1584" w:type="dxa"/>
          </w:tcPr>
          <w:p w14:paraId="6F01F393" w14:textId="77777777" w:rsidR="00CE1BA1" w:rsidRDefault="00967C92">
            <w:pPr>
              <w:pStyle w:val="Compact"/>
            </w:pPr>
            <w:r>
              <w:t>CVE-2022-45789 (Schneider Modicon session hijack)</w:t>
            </w:r>
          </w:p>
        </w:tc>
        <w:tc>
          <w:tcPr>
            <w:tcW w:w="1584" w:type="dxa"/>
          </w:tcPr>
          <w:p w14:paraId="38EA3820" w14:textId="77777777" w:rsidR="00CE1BA1" w:rsidRDefault="00967C92">
            <w:pPr>
              <w:pStyle w:val="Compact"/>
            </w:pPr>
            <w:r>
              <w:t>Covered by the 45-test kernel testbench; no adversarial demo run</w:t>
            </w:r>
          </w:p>
        </w:tc>
      </w:tr>
      <w:tr w:rsidR="00CE1BA1" w14:paraId="7BECE08B" w14:textId="77777777">
        <w:tc>
          <w:tcPr>
            <w:tcW w:w="1584" w:type="dxa"/>
          </w:tcPr>
          <w:p w14:paraId="73F87C3E" w14:textId="77777777" w:rsidR="00CE1BA1" w:rsidRDefault="00967C92">
            <w:pPr>
              <w:pStyle w:val="Compact"/>
            </w:pPr>
            <w:r>
              <w:rPr>
                <w:b/>
                <w:bCs/>
              </w:rPr>
              <w:t>Unsafe-state operation</w:t>
            </w:r>
          </w:p>
        </w:tc>
        <w:tc>
          <w:tcPr>
            <w:tcW w:w="1584" w:type="dxa"/>
          </w:tcPr>
          <w:p w14:paraId="1EC349B1" w14:textId="77777777" w:rsidR="00CE1BA1" w:rsidRDefault="00967C92">
            <w:pPr>
              <w:pStyle w:val="Compact"/>
            </w:pPr>
            <w:r>
              <w:t>4D, system state</w:t>
            </w:r>
          </w:p>
        </w:tc>
        <w:tc>
          <w:tcPr>
            <w:tcW w:w="1584" w:type="dxa"/>
          </w:tcPr>
          <w:p w14:paraId="44EEC5D2" w14:textId="77777777" w:rsidR="00CE1BA1" w:rsidRDefault="00967C92">
            <w:pPr>
              <w:pStyle w:val="Compact"/>
            </w:pPr>
            <w:r>
              <w:t xml:space="preserve">Issues a legitimate command while the platform is in </w:t>
            </w:r>
            <w:r>
              <w:rPr>
                <w:rStyle w:val="VerbatimChar"/>
              </w:rPr>
              <w:t>battery_low</w:t>
            </w:r>
            <w:r>
              <w:t xml:space="preserve">, </w:t>
            </w:r>
            <w:r>
              <w:rPr>
                <w:rStyle w:val="VerbatimChar"/>
              </w:rPr>
              <w:t>maintenance_mode</w:t>
            </w:r>
            <w:r>
              <w:t xml:space="preserve"> or </w:t>
            </w:r>
            <w:r>
              <w:rPr>
                <w:rStyle w:val="VerbatimChar"/>
              </w:rPr>
              <w:t>calibration_required</w:t>
            </w:r>
          </w:p>
        </w:tc>
        <w:tc>
          <w:tcPr>
            <w:tcW w:w="1584" w:type="dxa"/>
          </w:tcPr>
          <w:p w14:paraId="1727DDD0" w14:textId="77777777" w:rsidR="00CE1BA1" w:rsidRDefault="00967C92">
            <w:pPr>
              <w:pStyle w:val="Compact"/>
            </w:pPr>
            <w:r>
              <w:t>CVE-2022-33323 (Mitsubishi MELFA unauthorized command)</w:t>
            </w:r>
          </w:p>
        </w:tc>
        <w:tc>
          <w:tcPr>
            <w:tcW w:w="1584" w:type="dxa"/>
          </w:tcPr>
          <w:p w14:paraId="6F7523D7" w14:textId="77777777" w:rsidR="00CE1BA1" w:rsidRDefault="00967C92">
            <w:pPr>
              <w:pStyle w:val="Compact"/>
            </w:pPr>
            <w:r>
              <w:t>RBAC, DAG-NGAC and 3D admit 200,000 of 200,000 requests, including all 100,000 state-violating ones</w:t>
            </w:r>
          </w:p>
        </w:tc>
      </w:tr>
      <w:tr w:rsidR="00CE1BA1" w14:paraId="70E715B6" w14:textId="77777777">
        <w:tc>
          <w:tcPr>
            <w:tcW w:w="1584" w:type="dxa"/>
          </w:tcPr>
          <w:p w14:paraId="496F34FF" w14:textId="77777777" w:rsidR="00CE1BA1" w:rsidRDefault="00967C92">
            <w:pPr>
              <w:pStyle w:val="Compact"/>
            </w:pPr>
            <w:r>
              <w:rPr>
                <w:b/>
                <w:bCs/>
              </w:rPr>
              <w:t>Command provenance abuse</w:t>
            </w:r>
          </w:p>
        </w:tc>
        <w:tc>
          <w:tcPr>
            <w:tcW w:w="1584" w:type="dxa"/>
          </w:tcPr>
          <w:p w14:paraId="4A510842" w14:textId="77777777" w:rsidR="00CE1BA1" w:rsidRDefault="00967C92">
            <w:pPr>
              <w:pStyle w:val="Compact"/>
            </w:pPr>
            <w:r>
              <w:t>5D, command provenance</w:t>
            </w:r>
          </w:p>
        </w:tc>
        <w:tc>
          <w:tcPr>
            <w:tcW w:w="1584" w:type="dxa"/>
          </w:tcPr>
          <w:p w14:paraId="21B69BDA" w14:textId="77777777" w:rsidR="00CE1BA1" w:rsidRDefault="00967C92">
            <w:pPr>
              <w:pStyle w:val="Compact"/>
            </w:pPr>
            <w:r>
              <w:t>Holds valid DDS credentials for an authorized subject but is not an entitled source type</w:t>
            </w:r>
          </w:p>
        </w:tc>
        <w:tc>
          <w:tcPr>
            <w:tcW w:w="1584" w:type="dxa"/>
          </w:tcPr>
          <w:p w14:paraId="7585C5CC" w14:textId="77777777" w:rsidR="00CE1BA1" w:rsidRDefault="00967C92">
            <w:pPr>
              <w:pStyle w:val="Compact"/>
            </w:pPr>
            <w:r>
              <w:t>CVE-2021-38425 (eProsima Fast DDS RTPS injection)</w:t>
            </w:r>
          </w:p>
        </w:tc>
        <w:tc>
          <w:tcPr>
            <w:tcW w:w="1584" w:type="dxa"/>
          </w:tcPr>
          <w:p w14:paraId="28020784" w14:textId="77777777" w:rsidR="00CE1BA1" w:rsidRDefault="00967C92">
            <w:pPr>
              <w:pStyle w:val="Compact"/>
            </w:pPr>
            <w:r>
              <w:t>18,878 injections blocked, 100%, against 17,059 legitimate commands passed, 0% false positive</w:t>
            </w:r>
          </w:p>
        </w:tc>
      </w:tr>
    </w:tbl>
    <w:p w14:paraId="6C38E13F" w14:textId="77777777" w:rsidR="00CE1BA1" w:rsidRDefault="00967C92">
      <w:pPr>
        <w:pStyle w:val="BodyText"/>
      </w:pPr>
      <w:r>
        <w:rPr>
          <w:b/>
          <w:bCs/>
        </w:rPr>
        <w:t>The timing window is not a fourth class.</w:t>
      </w:r>
      <w:r>
        <w:t xml:space="preserve"> </w:t>
      </w:r>
      <w:r>
        <w:t xml:space="preserve">It is a cross-cutting delivery property: any correct decision is useless if it arrives after the actuator moved, which applies to all three classes above. It is closed by the synthesis-time latency bound, not by a dimension. Measured slip rate is </w:t>
      </w:r>
      <w:r>
        <w:rPr>
          <w:b/>
          <w:bCs/>
        </w:rPr>
        <w:t>0 in 8,733 callbacks</w:t>
      </w:r>
      <w:r>
        <w:t xml:space="preserve">, at baseline and under </w:t>
      </w:r>
      <w:r>
        <w:rPr>
          <w:rStyle w:val="VerbatimChar"/>
        </w:rPr>
        <w:t>stress-ng --cpu 8</w:t>
      </w:r>
      <w:r>
        <w:t>. That is a null result, so the argument is architectural and it stays out of the abstract as an effectiveness number.</w:t>
      </w:r>
    </w:p>
    <w:p w14:paraId="5D263116" w14:textId="77777777" w:rsidR="00CE1BA1" w:rsidRDefault="00967C92">
      <w:pPr>
        <w:pStyle w:val="BodyText"/>
      </w:pPr>
      <w:r>
        <w:rPr>
          <w:b/>
          <w:bCs/>
        </w:rPr>
        <w:t>Docs inconsistency, resolved 2026-08-07.</w:t>
      </w:r>
      <w:r>
        <w:t xml:space="preserve"> </w:t>
      </w:r>
      <w:r>
        <w:rPr>
          <w:rStyle w:val="VerbatimChar"/>
        </w:rPr>
        <w:t>project-overview.md</w:t>
      </w:r>
      <w:r>
        <w:t xml:space="preserve"> </w:t>
      </w:r>
      <w:r>
        <w:t xml:space="preserve">had labelled the timing window “Attack Class 1 (4D defense),” which was wrong twice: it is not a peer class, and the state dimension has nothing to do with it. Separately, CVE-2022-45789 was doing double duty, anchoring unauthorized access in </w:t>
      </w:r>
      <w:r>
        <w:rPr>
          <w:rStyle w:val="VerbatimChar"/>
        </w:rPr>
        <w:t>canonical-context.md</w:t>
      </w:r>
      <w:r>
        <w:t xml:space="preserve"> and the timing window in </w:t>
      </w:r>
      <w:r>
        <w:rPr>
          <w:rStyle w:val="VerbatimChar"/>
        </w:rPr>
        <w:t>evidence-record-2026-04-18.md</w:t>
      </w:r>
      <w:r>
        <w:t>. It is a session hijack, so it belongs to unauthorized access only; the timing window has no CVE anchor and needs none. All three files now agree.</w:t>
      </w:r>
    </w:p>
    <w:p w14:paraId="1D35F4EF" w14:textId="77777777" w:rsidR="00CE1BA1" w:rsidRDefault="00967C92">
      <w:pPr>
        <w:pStyle w:val="Heading1"/>
      </w:pPr>
      <w:bookmarkStart w:id="6" w:name="what-changed-in-revision-3"/>
      <w:bookmarkEnd w:id="5"/>
      <w:r>
        <w:t>What changed in revision 3</w:t>
      </w:r>
    </w:p>
    <w:p w14:paraId="3A02236E" w14:textId="77777777" w:rsidR="00CE1BA1" w:rsidRDefault="00967C92">
      <w:pPr>
        <w:pStyle w:val="FirstParagraph"/>
      </w:pPr>
      <w:r>
        <w:t>Revision 2 carried one security-effectiveness result. The project has two more, and one of them is stronger than what was in the abstract.</w:t>
      </w:r>
    </w:p>
    <w:p w14:paraId="7F160C0C" w14:textId="77777777" w:rsidR="00CE1BA1" w:rsidRDefault="00967C92">
      <w:pPr>
        <w:pStyle w:val="BodyText"/>
      </w:pPr>
      <w:r>
        <w:rPr>
          <w:b/>
          <w:bCs/>
        </w:rPr>
        <w:t>Added: the over-authorization result.</w:t>
      </w:r>
      <w:r>
        <w:t xml:space="preserve"> </w:t>
      </w:r>
      <w:r>
        <w:t xml:space="preserve">RBAC, NGAC-DAG and 3D allow 200,000 of 200,000 requests in the April 18 corpus, including all 100,000 that violate state. This is the answer to the obvious reviewer question, which is why not just use RBAC when it resolves in about 100 cycles. Because it says yes to </w:t>
      </w:r>
      <w:r>
        <w:lastRenderedPageBreak/>
        <w:t>everything. That single sentence converts the comparison table from an argument against the paper into an argument for it, and revision 2 left it out.</w:t>
      </w:r>
    </w:p>
    <w:p w14:paraId="0BD92771" w14:textId="77777777" w:rsidR="00CE1BA1" w:rsidRDefault="00967C92">
      <w:pPr>
        <w:pStyle w:val="BodyText"/>
      </w:pPr>
      <w:r>
        <w:rPr>
          <w:b/>
          <w:bCs/>
        </w:rPr>
        <w:t>Added: the threat model as a clause.</w:t>
      </w:r>
      <w:r>
        <w:t xml:space="preserve"> </w:t>
      </w:r>
      <w:r>
        <w:t>“Two CVE-anchored attack classes that identity-based authorization admits” costs four words and signals that a real threat model exists behind the abstract. The corpus omits full threat-model definitions, so the enumeration belongs in the manuscript, not here.</w:t>
      </w:r>
    </w:p>
    <w:p w14:paraId="24CACFED" w14:textId="77777777" w:rsidR="00CE1BA1" w:rsidRDefault="00967C92">
      <w:pPr>
        <w:pStyle w:val="BodyText"/>
      </w:pPr>
      <w:r>
        <w:rPr>
          <w:b/>
          <w:bCs/>
        </w:rPr>
        <w:t>Cost of the additions.</w:t>
      </w:r>
      <w:r>
        <w:t xml:space="preserve"> Revision 2 was 214 words. Revision 3 is 227, seven over the 220 guideline. The cut list above gets it back to 220 if a hard cap applies.</w:t>
      </w:r>
    </w:p>
    <w:p w14:paraId="13978194" w14:textId="77777777" w:rsidR="00CE1BA1" w:rsidRDefault="00967C92">
      <w:pPr>
        <w:pStyle w:val="BodyText"/>
      </w:pPr>
      <w:r>
        <w:rPr>
          <w:b/>
          <w:bCs/>
        </w:rPr>
        <w:t>Still deliberately excluded: the zero-slip result.</w:t>
      </w:r>
      <w:r>
        <w:t xml:space="preserve"> </w:t>
      </w:r>
      <w:r>
        <w:t>It is a null result. Including it would invite a reviewer to ask what the slip rate was, and the honest answer, zero, undercuts the sentence it appears in.</w:t>
      </w:r>
    </w:p>
    <w:p w14:paraId="3652D35F" w14:textId="77777777" w:rsidR="00CE1BA1" w:rsidRDefault="00967C92">
      <w:pPr>
        <w:pStyle w:val="Heading1"/>
      </w:pPr>
      <w:bookmarkStart w:id="7" w:name="X9de55b043e13ec30736db089c8eb35154fadd97"/>
      <w:bookmarkEnd w:id="6"/>
      <w:r>
        <w:t>What changed in revision 2, from the original draft</w:t>
      </w:r>
    </w:p>
    <w:p w14:paraId="2283BDBA" w14:textId="77777777" w:rsidR="00CE1BA1" w:rsidRDefault="00967C92">
      <w:pPr>
        <w:pStyle w:val="FirstParagraph"/>
      </w:pPr>
      <w:r>
        <w:t>Five edits. The first four are corpus-conformance; the fifth is a content gap.</w:t>
      </w:r>
    </w:p>
    <w:p w14:paraId="331256B9" w14:textId="77777777" w:rsidR="00CE1BA1" w:rsidRDefault="00967C92">
      <w:pPr>
        <w:pStyle w:val="BodyText"/>
      </w:pPr>
      <w:r>
        <w:rPr>
          <w:b/>
          <w:bCs/>
        </w:rPr>
        <w:t>1. Causality was inverted.</w:t>
      </w:r>
      <w:r>
        <w:t xml:space="preserve"> The draft read “software policy engines create a tail latency that introduces operating system contention.” </w:t>
      </w:r>
      <w:r>
        <w:t>It runs the other way: OS scheduling, preemption and cache effects produce the tail. The draft’s own next clause, “regardless of policy decision speed,” already implied the correct direction, so the sentence argued against itself. A reviewer who works on real-time systems catches this in the first ten seconds.</w:t>
      </w:r>
    </w:p>
    <w:p w14:paraId="6195BBFD" w14:textId="77777777" w:rsidR="00CE1BA1" w:rsidRDefault="00967C92">
      <w:pPr>
        <w:pStyle w:val="BodyText"/>
      </w:pPr>
      <w:r>
        <w:rPr>
          <w:b/>
          <w:bCs/>
        </w:rPr>
        <w:t>2. “Neglect” became “leave out of the control path.”</w:t>
      </w:r>
      <w:r>
        <w:t xml:space="preserve"> </w:t>
      </w:r>
      <w:r>
        <w:t>Neglect reads as carelessness on the part of robotics engineers. Leaving authorization out of the control path is a deliberate and defensible engineering decision given an unbounded checker, which makes the gap real rather than a failure of diligence. It also sets up the conclusion: once the worst case is a synthesis parameter, the decision changes.</w:t>
      </w:r>
    </w:p>
    <w:p w14:paraId="4859CF5F" w14:textId="77777777" w:rsidR="00CE1BA1" w:rsidRDefault="00967C92">
      <w:pPr>
        <w:pStyle w:val="BodyText"/>
      </w:pPr>
      <w:r>
        <w:rPr>
          <w:b/>
          <w:bCs/>
        </w:rPr>
        <w:t>3. “NIST NGAC-like (Next Generation Access Control)” became “NGAC.”</w:t>
      </w:r>
      <w:r>
        <w:t xml:space="preserve"> The parenthetical expansion costs words in a tight budget, and “NGAC-like” </w:t>
      </w:r>
      <w:r>
        <w:t>hedges away the standard’s authority in the one sentence that should be borrowing it. The hedge is worth keeping, but in the introduction where there is room to say which parts of INCITS 565 are extended.</w:t>
      </w:r>
    </w:p>
    <w:p w14:paraId="38755005" w14:textId="77777777" w:rsidR="00CE1BA1" w:rsidRDefault="00967C92">
      <w:pPr>
        <w:pStyle w:val="BodyText"/>
      </w:pPr>
      <w:r>
        <w:rPr>
          <w:b/>
          <w:bCs/>
        </w:rPr>
        <w:t>4. The closing sentence was replaced.</w:t>
      </w:r>
      <w:r>
        <w:t xml:space="preserve"> “We explore how synthesizing those decisions in reconfigurable logic impacts performance” </w:t>
      </w:r>
      <w:r>
        <w:t>is a characterization-paper move: it promises a study and reports no outcome. A performance-oriented defense abstract reports at least one security-effectiveness result and one cost result.</w:t>
      </w:r>
    </w:p>
    <w:p w14:paraId="078BA7DC" w14:textId="77777777" w:rsidR="00CE1BA1" w:rsidRDefault="00967C92">
      <w:pPr>
        <w:pStyle w:val="BodyText"/>
      </w:pPr>
      <w:r>
        <w:rPr>
          <w:b/>
          <w:bCs/>
        </w:rPr>
        <w:t>5. The two added dimensions were missing.</w:t>
      </w:r>
      <w:r>
        <w:t xml:space="preserve"> The draft described 3D NGAC compiled to bitmasks, which is the DCAS 2026 contribution, already published. State and provenance are what make this a new paper.</w:t>
      </w:r>
    </w:p>
    <w:p w14:paraId="13B366CF" w14:textId="77777777" w:rsidR="00CE1BA1" w:rsidRDefault="00967C92">
      <w:pPr>
        <w:pStyle w:val="Heading1"/>
      </w:pPr>
      <w:bookmarkStart w:id="8" w:name="Xe0b1d6009ca6564fc2c07c07786a3cbbab457a6"/>
      <w:bookmarkEnd w:id="7"/>
      <w:r>
        <w:t>What this abstract deliberately does not say, and why</w:t>
      </w:r>
    </w:p>
    <w:p w14:paraId="647BDC67" w14:textId="77777777" w:rsidR="00CE1BA1" w:rsidRDefault="00967C92">
      <w:pPr>
        <w:pStyle w:val="FirstParagraph"/>
      </w:pPr>
      <w:r>
        <w:t>Each of these would be caught by a reviewer who opens the synthesis reports.</w:t>
      </w:r>
    </w:p>
    <w:tbl>
      <w:tblPr>
        <w:tblStyle w:val="Table"/>
        <w:tblW w:w="5000" w:type="pct"/>
        <w:tblLayout w:type="fixed"/>
        <w:tblLook w:val="0020" w:firstRow="1" w:lastRow="0" w:firstColumn="0" w:lastColumn="0" w:noHBand="0" w:noVBand="0"/>
      </w:tblPr>
      <w:tblGrid>
        <w:gridCol w:w="5508"/>
        <w:gridCol w:w="5508"/>
      </w:tblGrid>
      <w:tr w:rsidR="00CE1BA1" w14:paraId="18D91FDC" w14:textId="77777777" w:rsidTr="00CE1BA1">
        <w:trPr>
          <w:cnfStyle w:val="100000000000" w:firstRow="1" w:lastRow="0" w:firstColumn="0" w:lastColumn="0" w:oddVBand="0" w:evenVBand="0" w:oddHBand="0" w:evenHBand="0" w:firstRowFirstColumn="0" w:firstRowLastColumn="0" w:lastRowFirstColumn="0" w:lastRowLastColumn="0"/>
          <w:tblHeader/>
        </w:trPr>
        <w:tc>
          <w:tcPr>
            <w:tcW w:w="3960" w:type="dxa"/>
          </w:tcPr>
          <w:p w14:paraId="7EC34703" w14:textId="77777777" w:rsidR="00CE1BA1" w:rsidRDefault="00967C92">
            <w:pPr>
              <w:pStyle w:val="Compact"/>
            </w:pPr>
            <w:r>
              <w:t>Not claimed</w:t>
            </w:r>
          </w:p>
        </w:tc>
        <w:tc>
          <w:tcPr>
            <w:tcW w:w="3960" w:type="dxa"/>
          </w:tcPr>
          <w:p w14:paraId="24883800" w14:textId="77777777" w:rsidR="00CE1BA1" w:rsidRDefault="00967C92">
            <w:pPr>
              <w:pStyle w:val="Compact"/>
            </w:pPr>
            <w:r>
              <w:t>Why</w:t>
            </w:r>
          </w:p>
        </w:tc>
      </w:tr>
      <w:tr w:rsidR="00CE1BA1" w14:paraId="1204FC23" w14:textId="77777777">
        <w:tc>
          <w:tcPr>
            <w:tcW w:w="3960" w:type="dxa"/>
          </w:tcPr>
          <w:p w14:paraId="5CA7F5D0" w14:textId="77777777" w:rsidR="00CE1BA1" w:rsidRDefault="00967C92">
            <w:pPr>
              <w:pStyle w:val="Compact"/>
            </w:pPr>
            <w:r>
              <w:t>“Zero hardware cost”</w:t>
            </w:r>
          </w:p>
        </w:tc>
        <w:tc>
          <w:tcPr>
            <w:tcW w:w="3960" w:type="dxa"/>
          </w:tcPr>
          <w:p w14:paraId="328E23ED" w14:textId="77777777" w:rsidR="00CE1BA1" w:rsidRDefault="00967C92">
            <w:pPr>
              <w:pStyle w:val="Compact"/>
            </w:pPr>
            <w:r>
              <w:t>The fifth dimension costs +11.4% LUT. It is free in time, nearly free in area.</w:t>
            </w:r>
          </w:p>
        </w:tc>
      </w:tr>
      <w:tr w:rsidR="00CE1BA1" w14:paraId="66C6712B" w14:textId="77777777">
        <w:tc>
          <w:tcPr>
            <w:tcW w:w="3960" w:type="dxa"/>
          </w:tcPr>
          <w:p w14:paraId="644997AA" w14:textId="77777777" w:rsidR="00CE1BA1" w:rsidRDefault="00967C92">
            <w:pPr>
              <w:pStyle w:val="Compact"/>
            </w:pPr>
            <w:r>
              <w:lastRenderedPageBreak/>
              <w:t>3D, 4D and 5D all resolve identically</w:t>
            </w:r>
          </w:p>
        </w:tc>
        <w:tc>
          <w:tcPr>
            <w:tcW w:w="3960" w:type="dxa"/>
          </w:tcPr>
          <w:p w14:paraId="764C4380" w14:textId="77777777" w:rsidR="00CE1BA1" w:rsidRDefault="00967C92">
            <w:pPr>
              <w:pStyle w:val="Compact"/>
            </w:pPr>
            <w:r>
              <w:t>3D was never synthesized. Only 4D vs 5D is measured.</w:t>
            </w:r>
          </w:p>
        </w:tc>
      </w:tr>
      <w:tr w:rsidR="00CE1BA1" w14:paraId="7A770A72" w14:textId="77777777">
        <w:tc>
          <w:tcPr>
            <w:tcW w:w="3960" w:type="dxa"/>
          </w:tcPr>
          <w:p w14:paraId="65F07F92" w14:textId="77777777" w:rsidR="00CE1BA1" w:rsidRDefault="00967C92">
            <w:pPr>
              <w:pStyle w:val="Compact"/>
            </w:pPr>
            <w:r>
              <w:t>The FPGA is faster than the CPU</w:t>
            </w:r>
          </w:p>
        </w:tc>
        <w:tc>
          <w:tcPr>
            <w:tcW w:w="3960" w:type="dxa"/>
          </w:tcPr>
          <w:p w14:paraId="565AF508" w14:textId="77777777" w:rsidR="00CE1BA1" w:rsidRDefault="00967C92">
            <w:pPr>
              <w:pStyle w:val="Compact"/>
            </w:pPr>
            <w:r>
              <w:t>It is not. At 500 rules the CPU wins on mean wall clock by about 19x. The claim is boundedness.</w:t>
            </w:r>
          </w:p>
        </w:tc>
      </w:tr>
      <w:tr w:rsidR="00CE1BA1" w14:paraId="7492AF26" w14:textId="77777777">
        <w:tc>
          <w:tcPr>
            <w:tcW w:w="3960" w:type="dxa"/>
          </w:tcPr>
          <w:p w14:paraId="43D8AFC0" w14:textId="77777777" w:rsidR="00CE1BA1" w:rsidRDefault="00967C92">
            <w:pPr>
              <w:pStyle w:val="Compact"/>
            </w:pPr>
            <w:r>
              <w:t>A measured timing-window slip rate</w:t>
            </w:r>
          </w:p>
        </w:tc>
        <w:tc>
          <w:tcPr>
            <w:tcW w:w="3960" w:type="dxa"/>
          </w:tcPr>
          <w:p w14:paraId="6ADB27CC" w14:textId="77777777" w:rsidR="00CE1BA1" w:rsidRDefault="00967C92">
            <w:pPr>
              <w:pStyle w:val="Compact"/>
            </w:pPr>
            <w:r>
              <w:t>Zero slips were observed. The class 1 argument is architectural, not empirical.</w:t>
            </w:r>
          </w:p>
        </w:tc>
      </w:tr>
      <w:tr w:rsidR="00CE1BA1" w14:paraId="7719EB7D" w14:textId="77777777">
        <w:tc>
          <w:tcPr>
            <w:tcW w:w="3960" w:type="dxa"/>
          </w:tcPr>
          <w:p w14:paraId="3A563054" w14:textId="77777777" w:rsidR="00CE1BA1" w:rsidRDefault="00967C92">
            <w:pPr>
              <w:pStyle w:val="Compact"/>
            </w:pPr>
            <w:r>
              <w:t>The board test is a timing result</w:t>
            </w:r>
          </w:p>
        </w:tc>
        <w:tc>
          <w:tcPr>
            <w:tcW w:w="3960" w:type="dxa"/>
          </w:tcPr>
          <w:p w14:paraId="1788D32C" w14:textId="77777777" w:rsidR="00CE1BA1" w:rsidRDefault="00967C92">
            <w:pPr>
              <w:pStyle w:val="Compact"/>
            </w:pPr>
            <w:r>
              <w:t>2,307 requests PASS on PYNQ-Z1 is functional verification only, which is why the abstract says “verifies functionally.”</w:t>
            </w:r>
          </w:p>
        </w:tc>
      </w:tr>
      <w:tr w:rsidR="00CE1BA1" w14:paraId="1BA6E4EC" w14:textId="77777777">
        <w:tc>
          <w:tcPr>
            <w:tcW w:w="3960" w:type="dxa"/>
          </w:tcPr>
          <w:p w14:paraId="386C1691" w14:textId="77777777" w:rsidR="00CE1BA1" w:rsidRDefault="00967C92">
            <w:pPr>
              <w:pStyle w:val="Compact"/>
            </w:pPr>
            <w:r>
              <w:t>UltraScale+</w:t>
            </w:r>
          </w:p>
        </w:tc>
        <w:tc>
          <w:tcPr>
            <w:tcW w:w="3960" w:type="dxa"/>
          </w:tcPr>
          <w:p w14:paraId="25AA91C4" w14:textId="77777777" w:rsidR="00CE1BA1" w:rsidRDefault="00967C92">
            <w:pPr>
              <w:pStyle w:val="Compact"/>
            </w:pPr>
            <w:r>
              <w:t>The part is a Zynq-7020. Earlier drafts said UltraScale+ aspirationally.</w:t>
            </w:r>
          </w:p>
        </w:tc>
      </w:tr>
      <w:tr w:rsidR="00CE1BA1" w14:paraId="31C09EED" w14:textId="77777777">
        <w:tc>
          <w:tcPr>
            <w:tcW w:w="3960" w:type="dxa"/>
          </w:tcPr>
          <w:p w14:paraId="6CA8E79B" w14:textId="77777777" w:rsidR="00CE1BA1" w:rsidRDefault="00967C92">
            <w:pPr>
              <w:pStyle w:val="Compact"/>
            </w:pPr>
            <w:r>
              <w:t>A hardware speedup number</w:t>
            </w:r>
          </w:p>
        </w:tc>
        <w:tc>
          <w:tcPr>
            <w:tcW w:w="3960" w:type="dxa"/>
          </w:tcPr>
          <w:p w14:paraId="26CA1627" w14:textId="77777777" w:rsidR="00CE1BA1" w:rsidRDefault="00967C92">
            <w:pPr>
              <w:pStyle w:val="Compact"/>
            </w:pPr>
            <w:r>
              <w:t>Any speedup framing invites the wall-clock comparison. Determinism is the defensible ground.</w:t>
            </w:r>
          </w:p>
        </w:tc>
      </w:tr>
    </w:tbl>
    <w:p w14:paraId="459DABE2" w14:textId="77777777" w:rsidR="00CE1BA1" w:rsidRDefault="00967C92">
      <w:pPr>
        <w:pStyle w:val="Heading1"/>
      </w:pPr>
      <w:bookmarkStart w:id="9" w:name="levers"/>
      <w:bookmarkEnd w:id="8"/>
      <w:r>
        <w:t>Levers</w:t>
      </w:r>
    </w:p>
    <w:p w14:paraId="4CD7E95F" w14:textId="77777777" w:rsidR="00CE1BA1" w:rsidRDefault="00967C92">
      <w:pPr>
        <w:pStyle w:val="FirstParagraph"/>
      </w:pPr>
      <w:r>
        <w:rPr>
          <w:b/>
          <w:bCs/>
        </w:rPr>
        <w:t>If you need words back.</w:t>
      </w:r>
      <w:r>
        <w:t xml:space="preserve"> In order of least damage: </w:t>
      </w:r>
      <w:r>
        <w:t>“and verifies functionally on PYNQ-Z1 silicon” plus “tested” (7 words, lands at 220, no claim lost); the software contrast clause 0.645 to 1.220 (14 words, but it is what makes “free” mean anything); the CVE-anchored clause (4 words, but it is the only signal in the abstract that a threat model exists).</w:t>
      </w:r>
    </w:p>
    <w:p w14:paraId="1220CD69" w14:textId="77777777" w:rsidR="00CE1BA1" w:rsidRDefault="00967C92">
      <w:pPr>
        <w:pStyle w:val="BodyText"/>
      </w:pPr>
      <w:r>
        <w:rPr>
          <w:b/>
          <w:bCs/>
        </w:rPr>
        <w:t>If you have room.</w:t>
      </w:r>
      <w:r>
        <w:t xml:space="preserve"> The OPA comparison from the withdrawn TS-NGAC work (OPA mean 271.491 microseconds, 13 deadline misses) preempts the “why not just use OPA” </w:t>
      </w:r>
      <w:r>
        <w:t>question, and a sentence placing this in the hypergraph privilege-analysis line from BigData 2025 credits where the approach originated.</w:t>
      </w:r>
    </w:p>
    <w:p w14:paraId="0F74FE34" w14:textId="77777777" w:rsidR="00CE1BA1" w:rsidRDefault="00967C92">
      <w:pPr>
        <w:pStyle w:val="BodyText"/>
      </w:pPr>
      <w:r>
        <w:rPr>
          <w:b/>
          <w:bCs/>
        </w:rPr>
        <w:t>Open decision.</w:t>
      </w:r>
      <w:r>
        <w:t xml:space="preserve"> Whether to fold the TS-NGAC OPA and XACML baselines into IPCCC depends on the contribution split with the journal version. Worth settling before the manuscript rather than the abstract.</w:t>
      </w:r>
    </w:p>
    <w:p w14:paraId="1648C831" w14:textId="77777777" w:rsidR="00CE1BA1" w:rsidRDefault="00967C92">
      <w:pPr>
        <w:pStyle w:val="Heading1"/>
      </w:pPr>
      <w:bookmarkStart w:id="10" w:name="the-draft-this-revises"/>
      <w:bookmarkEnd w:id="9"/>
      <w:r>
        <w:t>The draft this revises</w:t>
      </w:r>
    </w:p>
    <w:p w14:paraId="0134B53B" w14:textId="77777777" w:rsidR="00CE1BA1" w:rsidRDefault="00967C92">
      <w:pPr>
        <w:pStyle w:val="FirstParagraph"/>
      </w:pPr>
      <w:r>
        <w:t>Kept for comparison.</w:t>
      </w:r>
    </w:p>
    <w:p w14:paraId="5E19391A" w14:textId="77777777" w:rsidR="00CE1BA1" w:rsidRDefault="00967C92">
      <w:pPr>
        <w:pStyle w:val="BlockText"/>
      </w:pPr>
      <w:r>
        <w:t>Real-time robotic systems often neglect software-based authorization controls because prevailing controls don’t offer decisions within a pre-determined cycle time. software policy engines create a tail latency that introduces operating system contention, regardless of policy decision speed. In this article we present H-NGAC, an authorization method that compiles NIST NGAC-like (Next Generation Access Control) policy hypergraphs into fixed-width bitmasks. Our method enables hardware-based real-time decisions</w:t>
      </w:r>
      <w:r>
        <w:t xml:space="preserve"> via a chain of bitwise AND operations. We explore how synthesizing those decisions in reconfigurable logic impacts performance.</w:t>
      </w:r>
      <w:bookmarkEnd w:id="10"/>
    </w:p>
    <w:sectPr w:rsidR="00CE1BA1">
      <w:footnotePr>
        <w:numRestart w:val="eachSect"/>
      </w:foot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86C6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4972EF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06652718">
    <w:abstractNumId w:val="0"/>
  </w:num>
  <w:num w:numId="2" w16cid:durableId="4036508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E1BA1"/>
    <w:rsid w:val="004F06C0"/>
    <w:rsid w:val="00942428"/>
    <w:rsid w:val="00967C92"/>
    <w:rsid w:val="00CE1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826B9"/>
  <w15:docId w15:val="{9691927F-4B08-4AAC-BE78-750235F8E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ReviewResponse">
    <w:name w:val="Review Response"/>
    <w:basedOn w:val="BodyText"/>
    <w:next w:val="BodyText"/>
    <w:qFormat/>
    <w:pPr>
      <w:pBdr>
        <w:left w:val="single" w:sz="18" w:space="8" w:color="C00000"/>
      </w:pBdr>
      <w:spacing w:before="140" w:after="140"/>
      <w:ind w:left="200"/>
    </w:pPr>
    <w:rPr>
      <w:color w:val="C00000"/>
    </w:rPr>
  </w:style>
  <w:style w:type="character" w:customStyle="1" w:styleId="ReviewResponseChar">
    <w:name w:val="Review Response Char"/>
    <w:qFormat/>
    <w:rPr>
      <w:b/>
      <w:color w:val="C00000"/>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1947</Words>
  <Characters>11099</Characters>
  <Application>Microsoft Office Word</Application>
  <DocSecurity>0</DocSecurity>
  <Lines>92</Lines>
  <Paragraphs>26</Paragraphs>
  <ScaleCrop>false</ScaleCrop>
  <Company/>
  <LinksUpToDate>false</LinksUpToDate>
  <CharactersWithSpaces>13020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IPCCC 2026 — Abstract, Revision 4</dc:title>
  <dc:creator/>
  <cp:keywords/>
  <cp:lastModifiedBy>Hassan Karim</cp:lastModifiedBy>
  <cp:revision>2</cp:revision>
  <dcterms:created xsi:type="dcterms:W3CDTF">2026-08-07T16:11:00Z</dcterms:created>
  <dcterms:modified xsi:type="dcterms:W3CDTF">2026-08-07T21:17:00Z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7 August 2026</vt:lpwstr>
  </property>
  <property fmtid="{D5CDD505-2E9C-101B-9397-08002B2CF9AE}" pid="3" name="subtitle">
    <vt:lpwstr>5D H-NGAC: provenance-aware authorization on FPGA. Terminology corrected; H-NGAC and HyperNGAC separated.</vt:lpwstr>
  </property>
</Properties>
</file>