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jc w:val="center"/>
        <w:rPr>
          <w:b w:val="1"/>
          <w:sz w:val="26"/>
          <w:szCs w:val="26"/>
        </w:rPr>
      </w:pPr>
      <w:bookmarkStart w:colFirst="0" w:colLast="0" w:name="_rkogpw759h9x" w:id="0"/>
      <w:bookmarkEnd w:id="0"/>
      <w:r w:rsidDel="00000000" w:rsidR="00000000" w:rsidRPr="00000000">
        <w:rPr>
          <w:rFonts w:ascii="Google Sans Text" w:cs="Google Sans Text" w:eastAsia="Google Sans Text" w:hAnsi="Google Sans Text"/>
          <w:rtl w:val="0"/>
        </w:rPr>
        <w:t xml:space="preserve">Security risk assessment report</w:t>
      </w:r>
      <w:r w:rsidDel="00000000" w:rsidR="00000000" w:rsidRPr="00000000">
        <w:rPr>
          <w:rFonts w:ascii="Google Sans Text" w:cs="Google Sans Text" w:eastAsia="Google Sans Text" w:hAnsi="Google Sans Text"/>
          <w:rtl w:val="0"/>
        </w:rPr>
        <w:t xml:space="preserve"> </w:t>
      </w:r>
      <w:r w:rsidDel="00000000" w:rsidR="00000000" w:rsidRPr="00000000">
        <w:rPr>
          <w:rtl w:val="0"/>
        </w:rPr>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1725"/>
        <w:tblGridChange w:id="0">
          <w:tblGrid>
            <w:gridCol w:w="6990"/>
            <w:gridCol w:w="1725"/>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sz w:val="24"/>
                <w:szCs w:val="24"/>
              </w:rPr>
            </w:pPr>
            <w:r w:rsidDel="00000000" w:rsidR="00000000" w:rsidRPr="00000000">
              <w:rPr>
                <w:b w:val="1"/>
                <w:sz w:val="24"/>
                <w:szCs w:val="24"/>
                <w:rtl w:val="0"/>
              </w:rPr>
              <w:t xml:space="preserve">Part 1: Select up to three hardening tools and methods to implement</w:t>
            </w:r>
            <w:r w:rsidDel="00000000" w:rsidR="00000000" w:rsidRPr="00000000">
              <w:rPr>
                <w:rtl w:val="0"/>
              </w:rPr>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sz w:val="24"/>
                <w:szCs w:val="24"/>
              </w:rPr>
            </w:pPr>
            <w:r w:rsidDel="00000000" w:rsidR="00000000" w:rsidRPr="00000000">
              <w:rPr>
                <w:sz w:val="24"/>
                <w:szCs w:val="24"/>
                <w:rtl w:val="0"/>
              </w:rPr>
              <w:t xml:space="preserve">Three hardening tools the organization can use to address the vulnerabilities found include: </w:t>
            </w:r>
          </w:p>
          <w:p w:rsidR="00000000" w:rsidDel="00000000" w:rsidP="00000000" w:rsidRDefault="00000000" w:rsidRPr="00000000" w14:paraId="00000005">
            <w:pPr>
              <w:widowControl w:val="0"/>
              <w:numPr>
                <w:ilvl w:val="0"/>
                <w:numId w:val="1"/>
              </w:numPr>
              <w:spacing w:line="240" w:lineRule="auto"/>
              <w:ind w:left="720" w:hanging="360"/>
              <w:rPr>
                <w:sz w:val="24"/>
                <w:szCs w:val="24"/>
              </w:rPr>
            </w:pPr>
            <w:r w:rsidDel="00000000" w:rsidR="00000000" w:rsidRPr="00000000">
              <w:rPr>
                <w:sz w:val="24"/>
                <w:szCs w:val="24"/>
                <w:rtl w:val="0"/>
              </w:rPr>
              <w:t xml:space="preserve">Implementing multi-factor authentication (MFA)</w:t>
            </w:r>
          </w:p>
          <w:p w:rsidR="00000000" w:rsidDel="00000000" w:rsidP="00000000" w:rsidRDefault="00000000" w:rsidRPr="00000000" w14:paraId="00000006">
            <w:pPr>
              <w:widowControl w:val="0"/>
              <w:numPr>
                <w:ilvl w:val="0"/>
                <w:numId w:val="1"/>
              </w:numPr>
              <w:spacing w:line="240" w:lineRule="auto"/>
              <w:ind w:left="720" w:hanging="360"/>
              <w:rPr>
                <w:sz w:val="24"/>
                <w:szCs w:val="24"/>
              </w:rPr>
            </w:pPr>
            <w:r w:rsidDel="00000000" w:rsidR="00000000" w:rsidRPr="00000000">
              <w:rPr>
                <w:sz w:val="24"/>
                <w:szCs w:val="24"/>
                <w:rtl w:val="0"/>
              </w:rPr>
              <w:t xml:space="preserve">Setting and enforcing strong password policies</w:t>
            </w:r>
          </w:p>
          <w:p w:rsidR="00000000" w:rsidDel="00000000" w:rsidP="00000000" w:rsidRDefault="00000000" w:rsidRPr="00000000" w14:paraId="00000007">
            <w:pPr>
              <w:widowControl w:val="0"/>
              <w:numPr>
                <w:ilvl w:val="0"/>
                <w:numId w:val="1"/>
              </w:numPr>
              <w:spacing w:line="240" w:lineRule="auto"/>
              <w:ind w:left="720" w:hanging="360"/>
              <w:rPr>
                <w:sz w:val="24"/>
                <w:szCs w:val="24"/>
              </w:rPr>
            </w:pPr>
            <w:r w:rsidDel="00000000" w:rsidR="00000000" w:rsidRPr="00000000">
              <w:rPr>
                <w:sz w:val="24"/>
                <w:szCs w:val="24"/>
                <w:rtl w:val="0"/>
              </w:rPr>
              <w:t xml:space="preserve">Performing firewall maintenance regularly</w:t>
            </w:r>
          </w:p>
          <w:p w:rsidR="00000000" w:rsidDel="00000000" w:rsidP="00000000" w:rsidRDefault="00000000" w:rsidRPr="00000000" w14:paraId="0000000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9">
            <w:pPr>
              <w:widowControl w:val="0"/>
              <w:spacing w:line="240" w:lineRule="auto"/>
              <w:rPr>
                <w:sz w:val="24"/>
                <w:szCs w:val="24"/>
              </w:rPr>
            </w:pPr>
            <w:r w:rsidDel="00000000" w:rsidR="00000000" w:rsidRPr="00000000">
              <w:rPr>
                <w:sz w:val="24"/>
                <w:szCs w:val="24"/>
                <w:rtl w:val="0"/>
              </w:rPr>
              <w:t xml:space="preserve">MFA requires users to use more than one way to identify and verify their credentials before accessing an application. Some MFA methods include fingerprint scans, ID cards, pin numbers, and passwords. </w:t>
            </w:r>
          </w:p>
          <w:p w:rsidR="00000000" w:rsidDel="00000000" w:rsidP="00000000" w:rsidRDefault="00000000" w:rsidRPr="00000000" w14:paraId="0000000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Password policies can be refined to include rules regarding password length, a list of acceptable characters, and a disclaimer to discourage password sharing. They can also include rules surrounding unsuccessful login attempts, such as the user losing access to the network after five unsuccessful attempts. </w:t>
            </w:r>
          </w:p>
          <w:p w:rsidR="00000000" w:rsidDel="00000000" w:rsidP="00000000" w:rsidRDefault="00000000" w:rsidRPr="00000000" w14:paraId="0000000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D">
            <w:pPr>
              <w:widowControl w:val="0"/>
              <w:spacing w:line="240" w:lineRule="auto"/>
              <w:rPr>
                <w:sz w:val="24"/>
                <w:szCs w:val="24"/>
              </w:rPr>
            </w:pPr>
            <w:r w:rsidDel="00000000" w:rsidR="00000000" w:rsidRPr="00000000">
              <w:rPr>
                <w:sz w:val="24"/>
                <w:szCs w:val="24"/>
                <w:rtl w:val="0"/>
              </w:rPr>
              <w:t xml:space="preserve">Firewall maintenance entails checking and updating security configurations regularly to stay ahead of potential threats.  </w:t>
            </w:r>
            <w:r w:rsidDel="00000000" w:rsidR="00000000" w:rsidRPr="00000000">
              <w:rPr>
                <w:rtl w:val="0"/>
              </w:rPr>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11">
      <w:pPr>
        <w:spacing w:line="480" w:lineRule="auto"/>
        <w:rPr>
          <w:b w:val="1"/>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70.976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sz w:val="24"/>
                <w:szCs w:val="24"/>
              </w:rPr>
            </w:pPr>
            <w:r w:rsidDel="00000000" w:rsidR="00000000" w:rsidRPr="00000000">
              <w:rPr>
                <w:b w:val="1"/>
                <w:sz w:val="24"/>
                <w:szCs w:val="24"/>
                <w:rtl w:val="0"/>
              </w:rPr>
              <w:t xml:space="preserve">Part 2: Explain your recommendation(s)</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Enforcing multi-factor authentication (MFA) adds an additional layer of security beyond a password. It will reduce the likelihood that a malicious actor can access a network through a brute force or related attack since additional effort is required to authenticate in more than one way. MFA may also reduce the likelihood of people sharing passwords. Since the recipient of the shared password would need to possess additional authentication besides a password, MFA makes it less useful to share passwords, thereby making passwords less likely to be shared.</w:t>
            </w:r>
          </w:p>
          <w:p w:rsidR="00000000" w:rsidDel="00000000" w:rsidP="00000000" w:rsidRDefault="00000000" w:rsidRPr="00000000" w14:paraId="0000001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Creating and enforcing a password policy within the company will make it increasingly challenging for malicious actors to access the network. Policies such as suspending the account after a certain number of logins can prevent successful brute force attacks. Increasing password complexity, requiring more frequent password updates, and not allowing passwords to be reused also help stall malicious actors from infiltrating the network. </w:t>
            </w:r>
          </w:p>
          <w:p w:rsidR="00000000" w:rsidDel="00000000" w:rsidP="00000000" w:rsidRDefault="00000000" w:rsidRPr="00000000" w14:paraId="0000001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Firewall maintenance should happen regularly. Network administrators should ensure that firewall rules are in place that reflect the most up to date standards for allowed and denied traffic. Traffic from sources that are suspicious should be placed on a denied traffic list. Firewall rules should be updated whenever a security event occurs, especially an event that allows suspicious network traffic into the network. This measure can be used to protect against various DoS and DDoS attacks.</w:t>
            </w:r>
            <w:r w:rsidDel="00000000" w:rsidR="00000000" w:rsidRPr="00000000">
              <w:rPr>
                <w:rtl w:val="0"/>
              </w:rPr>
            </w:r>
          </w:p>
        </w:tc>
      </w:tr>
    </w:tbl>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Tex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oogleSansText-regular.ttf"/><Relationship Id="rId2" Type="http://schemas.openxmlformats.org/officeDocument/2006/relationships/font" Target="fonts/GoogleSansText-bold.ttf"/><Relationship Id="rId3" Type="http://schemas.openxmlformats.org/officeDocument/2006/relationships/font" Target="fonts/GoogleSansText-italic.ttf"/><Relationship Id="rId4" Type="http://schemas.openxmlformats.org/officeDocument/2006/relationships/font" Target="fonts/GoogleSans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