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30"/>
          <w:szCs w:val="30"/>
        </w:rPr>
        <w:t xml:space="preserve">City of Kirbywood</w:t>
      </w:r>
    </w:p>
    <w:p>
      <w:pPr>
        <w:spacing w:after="20"/>
      </w:pPr>
      <w:r>
        <w:rPr>
          <w:color w:val="595959"/>
          <w:sz w:val="20"/>
          <w:szCs w:val="20"/>
        </w:rPr>
        <w:t xml:space="preserve">Information Technology Services, Data Privacy &amp; Business Operations Management</w:t>
      </w:r>
    </w:p>
    <w:p>
      <w:pPr>
        <w:pBdr>
          <w:bottom w:val="single" w:color="1F3864" w:sz="8" w:space="6"/>
        </w:pBdr>
        <w:spacing w:after="240"/>
      </w:pPr>
      <w:r>
        <w:rPr>
          <w:color w:val="595959"/>
          <w:sz w:val="18"/>
          <w:szCs w:val="18"/>
        </w:rPr>
        <w:t xml:space="preserve">400 Municipal Plaza, Kirbywood, TX 77482</w:t>
      </w:r>
    </w:p>
    <w:p>
      <w:pPr>
        <w:spacing w:after="240"/>
        <w:jc w:val="center"/>
      </w:pPr>
      <w:r>
        <w:rPr>
          <w:b/>
          <w:bCs/>
          <w:color w:val="1F3864"/>
          <w:sz w:val="24"/>
          <w:szCs w:val="24"/>
        </w:rPr>
        <w:t xml:space="preserve">INTERNAL MEMORANDUM, ATTORNEY WORK PRODUCT</w:t>
      </w:r>
    </w:p>
    <w:p>
      <w:pPr>
        <w:spacing w:after="80"/>
      </w:pPr>
      <w:r>
        <w:rPr>
          <w:b/>
          <w:bCs/>
          <w:sz w:val="22"/>
          <w:szCs w:val="22"/>
        </w:rPr>
        <w:t xml:space="preserve">To:  </w:t>
      </w:r>
      <w:r>
        <w:rPr>
          <w:sz w:val="22"/>
          <w:szCs w:val="22"/>
        </w:rPr>
        <w:t xml:space="preserve">Legal Hold File No. 2026-LIT-0032</w:t>
      </w:r>
    </w:p>
    <w:p>
      <w:pPr>
        <w:spacing w:after="80"/>
      </w:pPr>
      <w:r>
        <w:rPr>
          <w:b/>
          <w:bCs/>
          <w:sz w:val="22"/>
          <w:szCs w:val="22"/>
        </w:rPr>
        <w:t xml:space="preserve">From:  </w:t>
      </w:r>
      <w:r>
        <w:rPr>
          <w:sz w:val="22"/>
          <w:szCs w:val="22"/>
        </w:rPr>
        <w:t xml:space="preserve">Office of the City Attorney, with Ke'Anna McKinney, Staff Analyst, Data Privacy &amp; Business Operations Management</w:t>
      </w:r>
    </w:p>
    <w:p>
      <w:pPr>
        <w:spacing w:after="80"/>
      </w:pPr>
      <w:r>
        <w:rPr>
          <w:b/>
          <w:bCs/>
          <w:sz w:val="22"/>
          <w:szCs w:val="22"/>
        </w:rPr>
        <w:t xml:space="preserve">Date:  </w:t>
      </w:r>
      <w:r>
        <w:rPr>
          <w:sz w:val="22"/>
          <w:szCs w:val="22"/>
        </w:rPr>
        <w:t xml:space="preserve">March 24, 2026</w:t>
      </w:r>
    </w:p>
    <w:p>
      <w:pPr>
        <w:spacing w:after="240"/>
      </w:pPr>
      <w:r>
        <w:rPr>
          <w:b/>
          <w:bCs/>
          <w:sz w:val="22"/>
          <w:szCs w:val="22"/>
        </w:rPr>
        <w:t xml:space="preserve">Re:  </w:t>
      </w:r>
      <w:r>
        <w:rPr>
          <w:sz w:val="22"/>
          <w:szCs w:val="22"/>
        </w:rPr>
        <w:t xml:space="preserve">Duty to Preserve Analysis, Notice of Claim, Priya Nandakumar / Nandakumar Family Bakery, LLC</w:t>
      </w:r>
    </w:p>
    <w:p>
      <w:pPr>
        <w:spacing w:after="100" w:before="160"/>
      </w:pPr>
      <w:r>
        <w:rPr>
          <w:b/>
          <w:bCs/>
          <w:color w:val="1F3864"/>
          <w:sz w:val="22"/>
          <w:szCs w:val="22"/>
        </w:rPr>
        <w:t xml:space="preserve">1. Summary of Claim</w:t>
      </w:r>
    </w:p>
    <w:p>
      <w:pPr>
        <w:spacing w:after="160"/>
      </w:pPr>
      <w:r>
        <w:rPr>
          <w:sz w:val="22"/>
          <w:szCs w:val="22"/>
        </w:rPr>
        <w:t xml:space="preserve">On March 20, 2026, the City received a formal notice of claim from counsel for Priya Nandakumar and Nandakumar Family Bakery, LLC, asserting negligence in connection with the February 2026 ransomware incident affecting the Municipal Court records system. The notice alleges unauthorized access to Ms. Nandakumar's personal and financial information and resulting fraudulent activity on a business account.</w:t>
      </w:r>
    </w:p>
    <w:p>
      <w:pPr>
        <w:spacing w:after="100" w:before="160"/>
      </w:pPr>
      <w:r>
        <w:rPr>
          <w:b/>
          <w:bCs/>
          <w:color w:val="1F3864"/>
          <w:sz w:val="22"/>
          <w:szCs w:val="22"/>
        </w:rPr>
        <w:t xml:space="preserve">2. Legal Standard</w:t>
      </w:r>
    </w:p>
    <w:p>
      <w:pPr>
        <w:spacing w:after="160"/>
      </w:pPr>
      <w:r>
        <w:rPr>
          <w:sz w:val="22"/>
          <w:szCs w:val="22"/>
        </w:rPr>
        <w:t xml:space="preserve">Under Texas law, a duty to preserve evidence arises when a party knows or reasonably should know that there is a substantial chance a claim will be filed and that evidence in its possession or control will be material and relevant to that claim. Brookshire Bros., Ltd. v. Aldridge, 438 S.W.3d 9, 20 (Tex. 2014) (citing Wal-Mart Stores, Inc. v. Johnson, 106 S.W.3d 718, 722 (Tex. 2003)). Failure to reasonably preserve evidence once the duty is triggered may result in spoliation sanctions, including an adverse inference instruction, regardless of whether the underlying claim ultimately succeeds.</w:t>
      </w:r>
    </w:p>
    <w:p>
      <w:pPr>
        <w:spacing w:after="100" w:before="160"/>
      </w:pPr>
      <w:r>
        <w:rPr>
          <w:b/>
          <w:bCs/>
          <w:color w:val="1F3864"/>
          <w:sz w:val="22"/>
          <w:szCs w:val="22"/>
        </w:rPr>
        <w:t xml:space="preserve">3. Application</w:t>
      </w:r>
    </w:p>
    <w:p>
      <w:pPr>
        <w:spacing w:after="160"/>
      </w:pPr>
      <w:r>
        <w:rPr>
          <w:sz w:val="22"/>
          <w:szCs w:val="22"/>
        </w:rPr>
        <w:t xml:space="preserve">Receipt of a formal, attorney-signed notice of claim explicitly demanding preservation removes any reasonable doubt that litigation is anticipated. The duty to preserve is triggered as of March 20, 2026, the date of receipt. This conclusion is independent of the City's potential defenses on the merits, including governmental immunity issues under Chapter 101 of the Texas Civil Practice and Remedies Code, which counsel will evaluate separately and which do not affect the preservation obligation.</w:t>
      </w:r>
    </w:p>
    <w:p>
      <w:pPr>
        <w:spacing w:after="100" w:before="160"/>
      </w:pPr>
      <w:r>
        <w:rPr>
          <w:b/>
          <w:bCs/>
          <w:color w:val="1F3864"/>
          <w:sz w:val="22"/>
          <w:szCs w:val="22"/>
        </w:rPr>
        <w:t xml:space="preserve">4. Scope Note</w:t>
      </w:r>
    </w:p>
    <w:p>
      <w:pPr>
        <w:spacing w:after="160"/>
      </w:pPr>
      <w:r>
        <w:rPr>
          <w:sz w:val="22"/>
          <w:szCs w:val="22"/>
        </w:rPr>
        <w:t xml:space="preserve">Records specific to the February 2026 incident generally are already subject to preservation under the collection conducted for Public Information Act Case File No. 2026-PIA-0147. This hold expands that preservation to specifically include all records, communications, and system data relating to Ms. Nandakumar's Municipal Court matter and any City system access logs reflecting activity on her case file, and instructs custodians not to rely on the PIA collection as a substitute for hold compliance, since the PIA collection was scoped to a different request and date range.</w:t>
      </w:r>
    </w:p>
    <w:p>
      <w:pPr>
        <w:spacing w:after="100" w:before="160"/>
      </w:pPr>
      <w:r>
        <w:rPr>
          <w:b/>
          <w:bCs/>
          <w:color w:val="1F3864"/>
          <w:sz w:val="22"/>
          <w:szCs w:val="22"/>
        </w:rPr>
        <w:t xml:space="preserve">5. Determination</w:t>
      </w:r>
    </w:p>
    <w:p>
      <w:pPr>
        <w:spacing w:after="160"/>
      </w:pPr>
      <w:r>
        <w:rPr>
          <w:sz w:val="22"/>
          <w:szCs w:val="22"/>
        </w:rPr>
        <w:t xml:space="preserve">A litigation hold is warranted and should issue immediately. Ke'Anna McKinney, Staff Analyst, Data Privacy &amp; Business Operations Management, is designated as Legal Hold Coordinator, responsible for distributing the hold notice, tracking custodian acknowledgment, and coordinating collection with the City Attorney's Office.</w:t>
      </w:r>
    </w:p>
    <w:p>
      <w:pPr>
        <w:spacing w:after="160"/>
      </w:pPr>
      <w:r>
        <w:rPr>
          <w:i/>
          <w:iCs/>
          <w:color w:val="595959"/>
          <w:sz w:val="20"/>
          <w:szCs w:val="20"/>
        </w:rPr>
        <w:t xml:space="preserve">This memorandum is prepared in anticipation of litigation and constitutes attorney work product.</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2026-08-24T20:30:54.510Z</dcterms:created>
  <dcterms:modified xsi:type="dcterms:W3CDTF">2026-08-24T20:30:54.510Z</dcterms:modified>
</cp:coreProperties>
</file>

<file path=docProps/custom.xml><?xml version="1.0" encoding="utf-8"?>
<Properties xmlns="http://schemas.openxmlformats.org/officeDocument/2006/custom-properties" xmlns:vt="http://schemas.openxmlformats.org/officeDocument/2006/docPropsVTypes"/>
</file>