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City of Kirbywood</w:t>
      </w:r>
    </w:p>
    <w:p>
      <w:pPr>
        <w:spacing w:after="20"/>
      </w:pPr>
      <w:r>
        <w:rPr>
          <w:color w:val="595959"/>
          <w:sz w:val="20"/>
          <w:szCs w:val="20"/>
        </w:rPr>
        <w:t xml:space="preserve">Information Technology Services, Data Privacy &amp; Business Operations Management</w:t>
      </w:r>
    </w:p>
    <w:p>
      <w:pPr>
        <w:pBdr>
          <w:bottom w:val="single" w:color="1F3864" w:sz="8" w:space="6"/>
        </w:pBdr>
        <w:spacing w:after="240"/>
      </w:pPr>
      <w:r>
        <w:rPr>
          <w:color w:val="595959"/>
          <w:sz w:val="18"/>
          <w:szCs w:val="18"/>
        </w:rPr>
        <w:t xml:space="preserve">400 Municipal Plaza, Kirbywood, TX 77482</w:t>
      </w:r>
    </w:p>
    <w:p>
      <w:pPr>
        <w:spacing w:after="240"/>
        <w:jc w:val="center"/>
      </w:pPr>
      <w:r>
        <w:rPr>
          <w:b/>
          <w:bCs/>
          <w:color w:val="1F3864"/>
          <w:sz w:val="24"/>
          <w:szCs w:val="24"/>
        </w:rPr>
        <w:t xml:space="preserve">INTERNAL MEMORANDUM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To:  </w:t>
      </w:r>
      <w:r>
        <w:rPr>
          <w:sz w:val="22"/>
          <w:szCs w:val="22"/>
        </w:rPr>
        <w:t xml:space="preserve">Legal Hold File No. 2026-LIT-0032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From:  </w:t>
      </w:r>
      <w:r>
        <w:rPr>
          <w:sz w:val="22"/>
          <w:szCs w:val="22"/>
        </w:rPr>
        <w:t xml:space="preserve">Ke'Anna McKinney, Staff Analyst, Data Privacy &amp; Business Operations Management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 </w:t>
      </w:r>
      <w:r>
        <w:rPr>
          <w:sz w:val="22"/>
          <w:szCs w:val="22"/>
        </w:rPr>
        <w:t xml:space="preserve">March 27, 2026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Re:  </w:t>
      </w:r>
      <w:r>
        <w:rPr>
          <w:sz w:val="22"/>
          <w:szCs w:val="22"/>
        </w:rPr>
        <w:t xml:space="preserve">eDiscovery Collection Plan, Nandakumar Matter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1. Purpose</w:t>
      </w:r>
    </w:p>
    <w:p>
      <w:pPr>
        <w:spacing w:after="160"/>
      </w:pPr>
      <w:r>
        <w:rPr>
          <w:sz w:val="22"/>
          <w:szCs w:val="22"/>
        </w:rPr>
        <w:t xml:space="preserve">This plan documents the systems, custodians, and methodology for collecting records responsive to Legal Hold File No. 2026-LIT-0032, beyond what was already collected under the Public Information Act response (Case File No. 2026-PIA-0147). Collection here is scoped specifically to Priya Nandakumar's Municipal Court matter and related system access records.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2. Custodians and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pct" w:w="34.18803418803419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Custodian / Source</w:t>
            </w:r>
          </w:p>
        </w:tc>
        <w:tc>
          <w:tcPr>
            <w:tcW w:type="pct" w:w="65.81196581196582%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to Collect</w:t>
            </w:r>
          </w:p>
        </w:tc>
      </w:tr>
      <w:tr>
        <w:tc>
          <w:tcPr>
            <w:tcW w:type="pct" w:w="34.18803418803419%"/>
          </w:tcPr>
          <w:p>
            <w:r>
              <w:rPr>
                <w:sz w:val="20"/>
                <w:szCs w:val="20"/>
              </w:rPr>
              <w:t xml:space="preserve">Municipal Court Case Management System</w:t>
            </w:r>
          </w:p>
        </w:tc>
        <w:tc>
          <w:tcPr>
            <w:tcW w:type="pct" w:w="65.81196581196582%"/>
          </w:tcPr>
          <w:p>
            <w:r>
              <w:rPr>
                <w:sz w:val="20"/>
                <w:szCs w:val="20"/>
              </w:rPr>
              <w:t xml:space="preserve">Complete case record, database entries, and modification history for the Nandakumar matter</w:t>
            </w:r>
          </w:p>
        </w:tc>
      </w:tr>
      <w:tr>
        <w:tc>
          <w:tcPr>
            <w:tcW w:type="pct" w:w="34.18803418803419%"/>
          </w:tcPr>
          <w:p>
            <w:r>
              <w:rPr>
                <w:sz w:val="20"/>
                <w:szCs w:val="20"/>
              </w:rPr>
              <w:t xml:space="preserve">Municipal Court Records System, backup infrastructure</w:t>
            </w:r>
          </w:p>
        </w:tc>
        <w:tc>
          <w:tcPr>
            <w:tcW w:type="pct" w:w="65.81196581196582%"/>
          </w:tcPr>
          <w:p>
            <w:r>
              <w:rPr>
                <w:sz w:val="20"/>
                <w:szCs w:val="20"/>
              </w:rPr>
              <w:t xml:space="preserve">Nightly backup snapshots covering January 1, 2026 through March 27, 2026</w:t>
            </w:r>
          </w:p>
        </w:tc>
      </w:tr>
      <w:tr>
        <w:tc>
          <w:tcPr>
            <w:tcW w:type="pct" w:w="34.18803418803419%"/>
          </w:tcPr>
          <w:p>
            <w:r>
              <w:rPr>
                <w:sz w:val="20"/>
                <w:szCs w:val="20"/>
              </w:rPr>
              <w:t xml:space="preserve">Identity and access management (IAM) logs</w:t>
            </w:r>
          </w:p>
        </w:tc>
        <w:tc>
          <w:tcPr>
            <w:tcW w:type="pct" w:w="65.81196581196582%"/>
          </w:tcPr>
          <w:p>
            <w:r>
              <w:rPr>
                <w:sz w:val="20"/>
                <w:szCs w:val="20"/>
              </w:rPr>
              <w:t xml:space="preserve">Authentication and access events tied to the Nandakumar case file</w:t>
            </w:r>
          </w:p>
        </w:tc>
      </w:tr>
      <w:tr>
        <w:tc>
          <w:tcPr>
            <w:tcW w:type="pct" w:w="34.18803418803419%"/>
          </w:tcPr>
          <w:p>
            <w:r>
              <w:rPr>
                <w:sz w:val="20"/>
                <w:szCs w:val="20"/>
              </w:rPr>
              <w:t xml:space="preserve">Renee Alvarez, David Okafor, City Attorney's Office</w:t>
            </w:r>
          </w:p>
        </w:tc>
        <w:tc>
          <w:tcPr>
            <w:tcW w:type="pct" w:w="65.81196581196582%"/>
          </w:tcPr>
          <w:p>
            <w:r>
              <w:rPr>
                <w:sz w:val="20"/>
                <w:szCs w:val="20"/>
              </w:rPr>
              <w:t xml:space="preserve">Emails, texts, and memos referencing the Nandakumar matter, expanding on the February 2026 search</w:t>
            </w:r>
          </w:p>
        </w:tc>
      </w:tr>
    </w:tbl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3. Collection Methodology</w:t>
      </w:r>
    </w:p>
    <w:p>
      <w:pPr>
        <w:spacing w:after="160"/>
      </w:pPr>
      <w:r>
        <w:rPr>
          <w:sz w:val="22"/>
          <w:szCs w:val="22"/>
        </w:rPr>
        <w:t xml:space="preserve">Database records are exported using a read-only reporting account to avoid altering the live case record. Backup snapshots are extracted to a write-once evidence share. All access log exports are pulled directly from the IAM platform's audit export function. Every file collected is hashed using SHA-256 immediately upon export, and the resulting hash values, collector name, and timestamp are logged in the Chain of Custody Hash Log (Legal Hold File No. 2026-LIT-0032) before the file is moved to the evidence share.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4. Chain of Custody</w:t>
      </w:r>
    </w:p>
    <w:p>
      <w:pPr>
        <w:spacing w:after="160"/>
      </w:pPr>
      <w:r>
        <w:rPr>
          <w:sz w:val="22"/>
          <w:szCs w:val="22"/>
        </w:rPr>
        <w:t xml:space="preserve">Original exports are stored in a read-only, access-logged folder at /LIT-2026-0032/collection/. Any working copy used for review is clearly marked DRAFT (WORKING COPY) and is never treated as the record of custody. Hash values are re-verified before production to confirm no alteration occurred between collection and use.</w:t>
      </w:r>
    </w:p>
    <w:p>
      <w:pPr>
        <w:spacing w:after="100" w:before="160"/>
      </w:pPr>
      <w:r>
        <w:rPr>
          <w:b/>
          <w:bCs/>
          <w:color w:val="1F3864"/>
          <w:sz w:val="22"/>
          <w:szCs w:val="22"/>
        </w:rPr>
        <w:t xml:space="preserve">5. Status</w:t>
      </w:r>
    </w:p>
    <w:p>
      <w:pPr>
        <w:spacing w:after="160"/>
      </w:pPr>
      <w:r>
        <w:rPr>
          <w:sz w:val="22"/>
          <w:szCs w:val="22"/>
        </w:rPr>
        <w:t xml:space="preserve">Collection is in progress. Initial hash-verified samples are documented in the Chain of Custody Hash Log for review by the City Attorney's Office.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2026-08-24T20:30:54.603Z</dcterms:created>
  <dcterms:modified xsi:type="dcterms:W3CDTF">2026-08-24T20:30:54.603Z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