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sz w:val="40"/>
          <w:szCs w:val="40"/>
        </w:rPr>
        <w:t xml:space="preserve">Project Logbook</w:t>
      </w:r>
    </w:p>
    <w:p>
      <w:pPr>
        <w:spacing w:after="120"/>
        <w:jc w:val="center"/>
      </w:pPr>
      <w:r>
        <w:rPr>
          <w:rFonts w:ascii="Calibri" w:cs="Calibri" w:eastAsia="Calibri" w:hAnsi="Calibri"/>
          <w:sz w:val="26"/>
          <w:szCs w:val="26"/>
        </w:rPr>
        <w:t xml:space="preserve">MSc Cyber Security Dissertation (COMP7300)</w:t>
      </w:r>
    </w:p>
    <w:p>
      <w:pPr>
        <w:spacing w:after="80"/>
        <w:jc w:val="center"/>
      </w:pPr>
      <w:r>
        <w:rPr>
          <w:rFonts w:ascii="Calibri" w:cs="Calibri" w:eastAsia="Calibri" w:hAnsi="Calibri"/>
          <w:sz w:val="24"/>
          <w:szCs w:val="24"/>
        </w:rPr>
        <w:t xml:space="preserve">Shantanu Uday Vedante</w:t>
      </w:r>
    </w:p>
    <w:p>
      <w:pPr>
        <w:spacing w:after="360"/>
        <w:jc w:val="center"/>
      </w:pPr>
      <w:r>
        <w:rPr>
          <w:rFonts w:ascii="Calibri" w:cs="Calibri" w:eastAsia="Calibri" w:hAnsi="Calibri"/>
          <w:i/>
          <w:iCs/>
          <w:sz w:val="22"/>
          <w:szCs w:val="22"/>
        </w:rPr>
        <w:t xml:space="preserve">Supervisor: Prof. Shujun Li</w:t>
      </w:r>
    </w:p>
    <w:p>
      <w:pPr>
        <w:spacing w:after="180" w:before="320"/>
      </w:pPr>
      <w:r>
        <w:rPr>
          <w:rFonts w:ascii="Calibri" w:cs="Calibri" w:eastAsia="Calibri" w:hAnsi="Calibri"/>
          <w:b/>
          <w:bCs/>
          <w:color w:val="1F3864"/>
          <w:sz w:val="30"/>
          <w:szCs w:val="30"/>
        </w:rPr>
        <w:t xml:space="preserve">Preface</w:t>
      </w:r>
    </w:p>
    <w:p>
      <w:pPr>
        <w:spacing w:after="120" w:before="0" w:line="300"/>
        <w:jc w:val="left"/>
      </w:pPr>
      <w:r>
        <w:rPr>
          <w:rFonts w:ascii="Calibri" w:cs="Calibri" w:eastAsia="Calibri" w:hAnsi="Calibri"/>
          <w:sz w:val="22"/>
          <w:szCs w:val="22"/>
        </w:rPr>
        <w:t xml:space="preserve">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pPr>
        <w:spacing w:after="120" w:before="0" w:line="300"/>
        <w:jc w:val="left"/>
      </w:pPr>
      <w:r>
        <w:rPr>
          <w:rFonts w:ascii="Calibri" w:cs="Calibri" w:eastAsia="Calibri" w:hAnsi="Calibri"/>
          <w:sz w:val="22"/>
          <w:szCs w:val="22"/>
        </w:rPr>
        <w:t xml:space="preserve">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pPr>
        <w:spacing w:after="180" w:before="320"/>
      </w:pPr>
      <w:r>
        <w:rPr>
          <w:rFonts w:ascii="Calibri" w:cs="Calibri" w:eastAsia="Calibri" w:hAnsi="Calibri"/>
          <w:b/>
          <w:bCs/>
          <w:color w:val="1F3864"/>
          <w:sz w:val="30"/>
          <w:szCs w:val="30"/>
        </w:rPr>
        <w:t xml:space="preserve">Reconstructed Entries (April 2026 – 14 July 2026)</w:t>
      </w:r>
    </w:p>
    <w:p>
      <w:pPr>
        <w:spacing w:after="140" w:before="240"/>
      </w:pPr>
      <w:r>
        <w:rPr>
          <w:rFonts w:ascii="Calibri" w:cs="Calibri" w:eastAsia="Calibri" w:hAnsi="Calibri"/>
          <w:b/>
          <w:bCs/>
          <w:color w:val="2E5F8A"/>
          <w:sz w:val="26"/>
          <w:szCs w:val="26"/>
        </w:rPr>
        <w:t xml:space="preserve">Entry 1 — April 2026: Supervisor Allocation and Initial Topic Proposal</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Mid to late April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Contacted Prof. Shujun Li to request supervision for the MSc dissertation. Proposed working on deepfake detection with a focus on explainable, lightweight approaches, motivated by the growing threat of AI-generated multimedia content in cyber security contexts. Supervision was accepted.</w:t>
      </w:r>
    </w:p>
    <w:p>
      <w:pPr>
        <w:spacing w:after="100" w:line="300"/>
      </w:pPr>
      <w:r>
        <w:rPr>
          <w:rFonts w:ascii="Calibri" w:cs="Calibri" w:eastAsia="Calibri" w:hAnsi="Calibri"/>
          <w:b/>
          <w:bCs/>
          <w:sz w:val="22"/>
          <w:szCs w:val="22"/>
        </w:rPr>
        <w:t xml:space="preserve">Initial project title: </w:t>
      </w:r>
      <w:r>
        <w:rPr>
          <w:rFonts w:ascii="Calibri" w:cs="Calibri" w:eastAsia="Calibri" w:hAnsi="Calibri"/>
          <w:sz w:val="22"/>
          <w:szCs w:val="22"/>
        </w:rPr>
        <w:t xml:space="preserve">Explainable Deepfake Video Detection Using Lightweight Transfer Learning.</w:t>
      </w:r>
    </w:p>
    <w:p>
      <w:pPr>
        <w:spacing w:after="100" w:line="300"/>
      </w:pPr>
      <w:r>
        <w:rPr>
          <w:rFonts w:ascii="Calibri" w:cs="Calibri" w:eastAsia="Calibri" w:hAnsi="Calibri"/>
          <w:b/>
          <w:bCs/>
          <w:sz w:val="22"/>
          <w:szCs w:val="22"/>
        </w:rPr>
        <w:t xml:space="preserve">Rationale (at the time): </w:t>
      </w:r>
      <w:r>
        <w:rPr>
          <w:rFonts w:ascii="Calibri" w:cs="Calibri" w:eastAsia="Calibri" w:hAnsi="Calibri"/>
          <w:sz w:val="22"/>
          <w:szCs w:val="22"/>
        </w:rPr>
        <w:t xml:space="preserve">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In retrospect this framing was quite conventional. The face-swap detection literature was already crowded and my initial proposal did not clearly articulate what my project would contribute beyond what published work had done. The critique later raised by my supervisor was foreshadowed here.</w:t>
      </w:r>
    </w:p>
    <w:p>
      <w:pPr>
        <w:spacing w:after="140" w:before="240"/>
      </w:pPr>
      <w:r>
        <w:rPr>
          <w:rFonts w:ascii="Calibri" w:cs="Calibri" w:eastAsia="Calibri" w:hAnsi="Calibri"/>
          <w:b/>
          <w:bCs/>
          <w:color w:val="2E5F8A"/>
          <w:sz w:val="26"/>
          <w:szCs w:val="26"/>
        </w:rPr>
        <w:t xml:space="preserve">Entry 2 — May 2026: Critical Review Assignment</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Late May to early June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Completed the COMP7993/COMP7300 Critical Review Report, due 12 June 2026. Selected the paper by Bahadure and Mane (2026) 'Deepfake detection using deep convolutional neural network and long short-term memory' (Multimedia Tools and Applications, Springer). Submitted on Moodle.</w:t>
      </w:r>
    </w:p>
    <w:p>
      <w:pPr>
        <w:spacing w:after="100" w:line="300"/>
      </w:pPr>
      <w:r>
        <w:rPr>
          <w:rFonts w:ascii="Calibri" w:cs="Calibri" w:eastAsia="Calibri" w:hAnsi="Calibri"/>
          <w:b/>
          <w:bCs/>
          <w:sz w:val="22"/>
          <w:szCs w:val="22"/>
        </w:rPr>
        <w:t xml:space="preserve">Justification of choice: </w:t>
      </w:r>
      <w:r>
        <w:rPr>
          <w:rFonts w:ascii="Calibri" w:cs="Calibri" w:eastAsia="Calibri" w:hAnsi="Calibri"/>
          <w:sz w:val="22"/>
          <w:szCs w:val="22"/>
        </w:rPr>
        <w:t xml:space="preserve">The paper was recent, from a reputable Springer venue (as my supervisor had asked), and directly addressed lightweight video deepfake detection, which aligned with my proposed dissertation topic. It gave me a target to critique on both methodological and empirical grounds.</w:t>
      </w:r>
    </w:p>
    <w:p>
      <w:pPr>
        <w:spacing w:after="100" w:line="300"/>
      </w:pPr>
      <w:r>
        <w:rPr>
          <w:rFonts w:ascii="Calibri" w:cs="Calibri" w:eastAsia="Calibri" w:hAnsi="Calibri"/>
          <w:b/>
          <w:bCs/>
          <w:sz w:val="22"/>
          <w:szCs w:val="22"/>
        </w:rPr>
        <w:t xml:space="preserve">Key learnings that fed the dissertation: </w:t>
      </w:r>
      <w:r>
        <w:rPr>
          <w:rFonts w:ascii="Calibri" w:cs="Calibri" w:eastAsia="Calibri" w:hAnsi="Calibri"/>
          <w:sz w:val="22"/>
          <w:szCs w:val="22"/>
        </w:rPr>
        <w:t xml:space="preserve">The critical review process forced me to examine the paper's claims closely. The paper reported 97.8% accuracy on FakeAVCeleb, but conducted no cross-dataset generalisation testing and used only FakeAVCeleb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misleading and interpretability is often claimed but rarely delivered.</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This exercise showed me how easy it is for a paper to overclaim if evaluation is not rigorous. It planted the seed for later thinking about the generalisation gap that would eventually shape my dissertation questions.</w:t>
      </w:r>
    </w:p>
    <w:p>
      <w:pPr>
        <w:spacing w:after="140" w:before="240"/>
      </w:pPr>
      <w:r>
        <w:rPr>
          <w:rFonts w:ascii="Calibri" w:cs="Calibri" w:eastAsia="Calibri" w:hAnsi="Calibri"/>
          <w:b/>
          <w:bCs/>
          <w:color w:val="2E5F8A"/>
          <w:sz w:val="26"/>
          <w:szCs w:val="26"/>
        </w:rPr>
        <w:t xml:space="preserve">Entry 3 — Late June to Early July 2026: Environment Setup and First Technical Progress</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Late June to 2 July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Set up the development environment for the originally proposed project. Installed Miniconda with Python 3.12 in an isolated environment. Installed PyTorch 2.5.1 with CUDA 12.1 support and verified GPU acceleration on my RTX 3050 Ti laptop. Installed timm, pytorch-grad-cam, facenet-pytorch, OpenCV, MediaPipe, and Jupyter Lab. Created a private GitHub repository (msc-deepfake-detection) and pushed initial project structure. Verified MobileNetV3-Small inference end-to-end on a sample image.</w:t>
      </w:r>
    </w:p>
    <w:p>
      <w:pPr>
        <w:spacing w:after="100" w:line="300"/>
      </w:pPr>
      <w:r>
        <w:rPr>
          <w:rFonts w:ascii="Calibri" w:cs="Calibri" w:eastAsia="Calibri" w:hAnsi="Calibri"/>
          <w:b/>
          <w:bCs/>
          <w:sz w:val="22"/>
          <w:szCs w:val="22"/>
        </w:rPr>
        <w:t xml:space="preserve">Dataset acquisition: </w:t>
      </w:r>
      <w:r>
        <w:rPr>
          <w:rFonts w:ascii="Calibri" w:cs="Calibri" w:eastAsia="Calibri" w:hAnsi="Calibri"/>
          <w:sz w:val="22"/>
          <w:szCs w:val="22"/>
        </w:rPr>
        <w:t xml:space="preserve">Applied for FaceForensics++ access through the official Google form. Applied for Celeb-DF v2 access. Celeb-DF v2 was approved and downloaded (approx 9.45 GB, 6,530 files across three folders: Celeb-real, Celeb-synthesis, YouTube-real, plus the official test-split file). FaceForensics++ approval was pending throughout the project and did not arrive in time.</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The technical environment came together cleanly. In hindsight, this early setup work was largely reusable across all later versions of the project. The PyTorch, GPU, and Colab infrastructure did not need re-doing when the project direction changed later.</w:t>
      </w:r>
    </w:p>
    <w:p>
      <w:pPr>
        <w:spacing w:after="140" w:before="240"/>
      </w:pPr>
      <w:r>
        <w:rPr>
          <w:rFonts w:ascii="Calibri" w:cs="Calibri" w:eastAsia="Calibri" w:hAnsi="Calibri"/>
          <w:b/>
          <w:bCs/>
          <w:color w:val="2E5F8A"/>
          <w:sz w:val="26"/>
          <w:szCs w:val="26"/>
        </w:rPr>
        <w:t xml:space="preserve">Entry 4 — First Supervisor Meeting on 2 July 2026</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2 July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First supervisor meeting to discuss the project direction in detail. Prepared and presented five talking points covering approach (transfer learning with lightweight models), dataset choice, explainability plan, demo interface intention, and evaluation strategy.</w:t>
      </w:r>
    </w:p>
    <w:p>
      <w:pPr>
        <w:spacing w:after="100" w:line="300"/>
      </w:pPr>
      <w:r>
        <w:rPr>
          <w:rFonts w:ascii="Calibri" w:cs="Calibri" w:eastAsia="Calibri" w:hAnsi="Calibri"/>
          <w:b/>
          <w:bCs/>
          <w:sz w:val="22"/>
          <w:szCs w:val="22"/>
        </w:rPr>
        <w:t xml:space="preserve">Supervisor feedback: </w:t>
      </w:r>
      <w:r>
        <w:rPr>
          <w:rFonts w:ascii="Calibri" w:cs="Calibri" w:eastAsia="Calibri" w:hAnsi="Calibri"/>
          <w:sz w:val="22"/>
          <w:szCs w:val="22"/>
        </w:rPr>
        <w:t xml:space="preserve">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pPr>
        <w:spacing w:after="100" w:line="300"/>
      </w:pPr>
      <w:r>
        <w:rPr>
          <w:rFonts w:ascii="Calibri" w:cs="Calibri" w:eastAsia="Calibri" w:hAnsi="Calibri"/>
          <w:b/>
          <w:bCs/>
          <w:sz w:val="22"/>
          <w:szCs w:val="22"/>
        </w:rPr>
        <w:t xml:space="preserve">Actions after meeting: </w:t>
      </w:r>
      <w:r>
        <w:rPr>
          <w:rFonts w:ascii="Calibri" w:cs="Calibri" w:eastAsia="Calibri" w:hAnsi="Calibri"/>
          <w:sz w:val="22"/>
          <w:szCs w:val="22"/>
        </w:rPr>
        <w:t xml:space="preserve">Read the full transcript of my recorded meeting notes carefully. Recognised that the supervisor was steering me away from Direction 1 (detector building) and toward a study rooted in either dataset creation or artefact analysis. Began a targeted literature review focused on modern generation models.</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This meeting was the turning point of the project. My original framing had been conventional and the supervisor was right that it lacked a defensible novelty story. His comment about video datasets being 'easy to obtain from social media' was practically informative and reshaped my thinking about what data was actually available.</w:t>
      </w:r>
    </w:p>
    <w:p>
      <w:pPr>
        <w:spacing w:after="140" w:before="240"/>
      </w:pPr>
      <w:r>
        <w:rPr>
          <w:rFonts w:ascii="Calibri" w:cs="Calibri" w:eastAsia="Calibri" w:hAnsi="Calibri"/>
          <w:b/>
          <w:bCs/>
          <w:color w:val="2E5F8A"/>
          <w:sz w:val="26"/>
          <w:szCs w:val="26"/>
        </w:rPr>
        <w:t xml:space="preserve">Entry 5 — Early July: Literature Review and First Redirection</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3 to 9 July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CoCoVideo (2026), GenVidBench (2025), Deepfake-Eval-2024, MoE-FFD (Kong et al. IEEE TDSC 2025), and the Yermakov CLIP-based detector (2025).</w:t>
      </w:r>
    </w:p>
    <w:p>
      <w:pPr>
        <w:spacing w:after="100" w:line="300"/>
      </w:pPr>
      <w:r>
        <w:rPr>
          <w:rFonts w:ascii="Calibri" w:cs="Calibri" w:eastAsia="Calibri" w:hAnsi="Calibri"/>
          <w:b/>
          <w:bCs/>
          <w:sz w:val="22"/>
          <w:szCs w:val="22"/>
        </w:rPr>
        <w:t xml:space="preserve">Key insight from reading: </w:t>
      </w:r>
      <w:r>
        <w:rPr>
          <w:rFonts w:ascii="Calibri" w:cs="Calibri" w:eastAsia="Calibri" w:hAnsi="Calibri"/>
          <w:sz w:val="22"/>
          <w:szCs w:val="22"/>
        </w:rPr>
        <w:t xml:space="preserve">Only one paper in the reviewed set (CoCoVideo, June 2026) systematically covered modern 2024–2026 commercial video generation models. Every other paper still evaluated on FaceForensics++, Celeb-DF, and DFDC, which are 2018–2020 face-swap datasets. Deepfake-Eval-2024 showed detectors dropping approximately 50% in AUC when moved from academic benchmarks to real 2024 social media content. This confirmed the gap the supervisor had pointed at.</w:t>
      </w:r>
    </w:p>
    <w:p>
      <w:pPr>
        <w:spacing w:after="100" w:line="300"/>
      </w:pPr>
      <w:r>
        <w:rPr>
          <w:rFonts w:ascii="Calibri" w:cs="Calibri" w:eastAsia="Calibri" w:hAnsi="Calibri"/>
          <w:b/>
          <w:bCs/>
          <w:sz w:val="22"/>
          <w:szCs w:val="22"/>
        </w:rPr>
        <w:t xml:space="preserve">First redirection considered: </w:t>
      </w:r>
      <w:r>
        <w:rPr>
          <w:rFonts w:ascii="Calibri" w:cs="Calibri" w:eastAsia="Calibri" w:hAnsi="Calibri"/>
          <w:sz w:val="22"/>
          <w:szCs w:val="22"/>
        </w:rPr>
        <w:t xml:space="preserve">An artefact analysis study of modern text-to-video generators (Sora, Veo, Kling, Runway) using publicly-posted samples. Drafted research questions around this direction.</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pPr>
        <w:spacing w:after="140" w:before="240"/>
      </w:pPr>
      <w:r>
        <w:rPr>
          <w:rFonts w:ascii="Calibri" w:cs="Calibri" w:eastAsia="Calibri" w:hAnsi="Calibri"/>
          <w:b/>
          <w:bCs/>
          <w:color w:val="2E5F8A"/>
          <w:sz w:val="26"/>
          <w:szCs w:val="26"/>
        </w:rPr>
        <w:t xml:space="preserve">Entry 6 — Second Supervisor Meeting on 10 July 2026</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10 July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pPr>
        <w:spacing w:after="100" w:line="300"/>
      </w:pPr>
      <w:r>
        <w:rPr>
          <w:rFonts w:ascii="Calibri" w:cs="Calibri" w:eastAsia="Calibri" w:hAnsi="Calibri"/>
          <w:b/>
          <w:bCs/>
          <w:sz w:val="22"/>
          <w:szCs w:val="22"/>
        </w:rPr>
        <w:t xml:space="preserve">Supervisor feedback: </w:t>
      </w:r>
      <w:r>
        <w:rPr>
          <w:rFonts w:ascii="Calibri" w:cs="Calibri" w:eastAsia="Calibri" w:hAnsi="Calibri"/>
          <w:sz w:val="22"/>
          <w:szCs w:val="22"/>
        </w:rPr>
        <w:t xml:space="preserve">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pPr>
        <w:spacing w:after="100" w:line="300"/>
      </w:pPr>
      <w:r>
        <w:rPr>
          <w:rFonts w:ascii="Calibri" w:cs="Calibri" w:eastAsia="Calibri" w:hAnsi="Calibri"/>
          <w:b/>
          <w:bCs/>
          <w:sz w:val="22"/>
          <w:szCs w:val="22"/>
        </w:rPr>
        <w:t xml:space="preserve">Options identified: </w:t>
      </w:r>
      <w:r>
        <w:rPr>
          <w:rFonts w:ascii="Calibri" w:cs="Calibri" w:eastAsia="Calibri" w:hAnsi="Calibri"/>
          <w:sz w:val="22"/>
          <w:szCs w:val="22"/>
        </w:rP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DeepFakeBench). Direction 4: pure artefact characterisation study.</w:t>
      </w:r>
    </w:p>
    <w:p>
      <w:pPr>
        <w:spacing w:after="100" w:line="300"/>
      </w:pPr>
      <w:r>
        <w:rPr>
          <w:rFonts w:ascii="Calibri" w:cs="Calibri" w:eastAsia="Calibri" w:hAnsi="Calibri"/>
          <w:b/>
          <w:bCs/>
          <w:sz w:val="22"/>
          <w:szCs w:val="22"/>
        </w:rPr>
        <w:t xml:space="preserve">Post-meeting actions: </w:t>
      </w:r>
      <w:r>
        <w:rPr>
          <w:rFonts w:ascii="Calibri" w:cs="Calibri" w:eastAsia="Calibri" w:hAnsi="Calibri"/>
          <w:sz w:val="22"/>
          <w:szCs w:val="22"/>
        </w:rPr>
        <w:t xml:space="preserve">Considered each direction against constraints (budget, time, ethics window). Ruled out Direction 2 due to API costs and ethics timeline. Considered Direction 3 but concluded I could not confidently identify a gap DeepFakeBench does not cover. Eventually settled on a characterisation study framed around comparing traditional face-manipulation deepfakes with modern LVM/MLLM-based face editing.</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This meeting made explicit that the supervisor was not going to hand me a topic. He wanted me to justify my choice through reasoning about the field. That was appropriate at MSc level and I should have understood it earlier.</w:t>
      </w:r>
    </w:p>
    <w:p>
      <w:pPr>
        <w:spacing w:after="140" w:before="240"/>
      </w:pPr>
      <w:r>
        <w:rPr>
          <w:rFonts w:ascii="Calibri" w:cs="Calibri" w:eastAsia="Calibri" w:hAnsi="Calibri"/>
          <w:b/>
          <w:bCs/>
          <w:color w:val="2E5F8A"/>
          <w:sz w:val="26"/>
          <w:szCs w:val="26"/>
        </w:rPr>
        <w:t xml:space="preserve">Entry 7 — 11 to 13 July: Refining Research Questions Through Teams Correspondence</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11 to 13 July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Extensive Teams correspondence with the supervisor to refine the research questions. Initially proposed a five-question set covering artefact taxonomy, cross-model comparison, detectability, generalisation testing, and design implications.</w:t>
      </w:r>
    </w:p>
    <w:p>
      <w:pPr>
        <w:spacing w:after="100" w:line="300"/>
      </w:pPr>
      <w:r>
        <w:rPr>
          <w:rFonts w:ascii="Calibri" w:cs="Calibri" w:eastAsia="Calibri" w:hAnsi="Calibri"/>
          <w:b/>
          <w:bCs/>
          <w:sz w:val="22"/>
          <w:szCs w:val="22"/>
        </w:rPr>
        <w:t xml:space="preserve">Key supervisor critiques received: </w:t>
      </w:r>
      <w:r>
        <w:rPr>
          <w:rFonts w:ascii="Calibri" w:cs="Calibri" w:eastAsia="Calibri" w:hAnsi="Calibri"/>
          <w:sz w:val="22"/>
          <w:szCs w:val="22"/>
        </w:rPr>
        <w:t xml:space="preserve">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pPr>
        <w:spacing w:after="100" w:line="300"/>
      </w:pPr>
      <w:r>
        <w:rPr>
          <w:rFonts w:ascii="Calibri" w:cs="Calibri" w:eastAsia="Calibri" w:hAnsi="Calibri"/>
          <w:b/>
          <w:bCs/>
          <w:sz w:val="22"/>
          <w:szCs w:val="22"/>
        </w:rPr>
        <w:t xml:space="preserve">How I responded: </w:t>
      </w:r>
      <w:r>
        <w:rPr>
          <w:rFonts w:ascii="Calibri" w:cs="Calibri" w:eastAsia="Calibri" w:hAnsi="Calibri"/>
          <w:sz w:val="22"/>
          <w:szCs w:val="22"/>
        </w:rPr>
        <w:t xml:space="preserve">Accepted both critiques directly. Restructured RQ2 and RQ3 to remove any assumption that pre-trained detectors would work across categories. Removed dependency on Grad-CAM interpretation. Reframed RQ3 to focus on artefact distribution rather than detector-interpretation.</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The temptation was to defend the previous framing. Accepting the critiques was harder but produced a stronger project. The supervisor was correct that my earlier framing would have collapsed under viva questioning.</w:t>
      </w:r>
    </w:p>
    <w:p>
      <w:pPr>
        <w:spacing w:after="140" w:before="240"/>
      </w:pPr>
      <w:r>
        <w:rPr>
          <w:rFonts w:ascii="Calibri" w:cs="Calibri" w:eastAsia="Calibri" w:hAnsi="Calibri"/>
          <w:b/>
          <w:bCs/>
          <w:color w:val="2E5F8A"/>
          <w:sz w:val="26"/>
          <w:szCs w:val="26"/>
        </w:rPr>
        <w:t xml:space="preserve">Entry 8 — 13 to 14 July: Second Major Redirection and Final Direction</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13 to 14 July 2026</w:t>
      </w:r>
    </w:p>
    <w:p>
      <w:pPr>
        <w:spacing w:after="100" w:line="300"/>
      </w:pPr>
      <w:r>
        <w:rPr>
          <w:rFonts w:ascii="Calibri" w:cs="Calibri" w:eastAsia="Calibri" w:hAnsi="Calibri"/>
          <w:b/>
          <w:bCs/>
          <w:sz w:val="22"/>
          <w:szCs w:val="22"/>
        </w:rPr>
        <w:t xml:space="preserve">Activity: </w:t>
      </w:r>
      <w:r>
        <w:rPr>
          <w:rFonts w:ascii="Calibri" w:cs="Calibri" w:eastAsia="Calibri" w:hAnsi="Calibri"/>
          <w:sz w:val="22"/>
          <w:szCs w:val="22"/>
        </w:rPr>
        <w:t xml:space="preserve">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pPr>
        <w:spacing w:after="100" w:line="300"/>
      </w:pPr>
      <w:r>
        <w:rPr>
          <w:rFonts w:ascii="Calibri" w:cs="Calibri" w:eastAsia="Calibri" w:hAnsi="Calibri"/>
          <w:b/>
          <w:bCs/>
          <w:sz w:val="22"/>
          <w:szCs w:val="22"/>
        </w:rPr>
        <w:t xml:space="preserve">Video editing model selection issue: </w:t>
      </w:r>
      <w:r>
        <w:rPr>
          <w:rFonts w:ascii="Calibri" w:cs="Calibri" w:eastAsia="Calibri" w:hAnsi="Calibri"/>
          <w:sz w:val="22"/>
          <w:szCs w:val="22"/>
        </w:rPr>
        <w:t xml:space="preserve">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pPr>
        <w:spacing w:after="100" w:line="300"/>
      </w:pPr>
      <w:r>
        <w:rPr>
          <w:rFonts w:ascii="Calibri" w:cs="Calibri" w:eastAsia="Calibri" w:hAnsi="Calibri"/>
          <w:b/>
          <w:bCs/>
          <w:sz w:val="22"/>
          <w:szCs w:val="22"/>
        </w:rPr>
        <w:t xml:space="preserve">Third redirection: </w:t>
      </w:r>
      <w:r>
        <w:rPr>
          <w:rFonts w:ascii="Calibri" w:cs="Calibri" w:eastAsia="Calibri" w:hAnsi="Calibri"/>
          <w:sz w:val="22"/>
          <w:szCs w:val="22"/>
        </w:rP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of feasibility, budget, and remaining time, I chose to pivot to fully-generated videos with a multi-model comparative design.</w:t>
      </w:r>
    </w:p>
    <w:p>
      <w:pPr>
        <w:spacing w:after="100" w:line="300"/>
      </w:pPr>
      <w:r>
        <w:rPr>
          <w:rFonts w:ascii="Calibri" w:cs="Calibri" w:eastAsia="Calibri" w:hAnsi="Calibri"/>
          <w:b/>
          <w:bCs/>
          <w:sz w:val="22"/>
          <w:szCs w:val="22"/>
        </w:rPr>
        <w:t xml:space="preserve">Final approved direction: </w:t>
      </w:r>
      <w:r>
        <w:rPr>
          <w:rFonts w:ascii="Calibri" w:cs="Calibri" w:eastAsia="Calibri" w:hAnsi="Calibri"/>
          <w:sz w:val="22"/>
          <w:szCs w:val="22"/>
        </w:rPr>
        <w:t xml:space="preserve">Comparative study of artefacts in modern AI-generated video using multiple MLLMs. Two video groups: open-weight generators self-hosted on Colab Pro (LTX-2.3, HunyuanVideo, Wan 2.7) and commercial state-of-the-art models via publicly-posted user samples (Kling 3.0, Veo 3.1, Runway Aleph). Four MLLMs used as analytical tools: Claude Opus 4.7, Gemini 2.0 Flash, Qwen2.5-VL, LLaVA-1.6.</w:t>
      </w:r>
    </w:p>
    <w:p>
      <w:pPr>
        <w:spacing w:after="100" w:line="300"/>
      </w:pPr>
      <w:r>
        <w:rPr>
          <w:rFonts w:ascii="Calibri" w:cs="Calibri" w:eastAsia="Calibri" w:hAnsi="Calibri"/>
          <w:b/>
          <w:bCs/>
          <w:sz w:val="22"/>
          <w:szCs w:val="22"/>
        </w:rPr>
        <w:t xml:space="preserve">Reflection: </w:t>
      </w:r>
      <w:r>
        <w:rPr>
          <w:rFonts w:ascii="Calibri" w:cs="Calibri" w:eastAsia="Calibri" w:hAnsi="Calibri"/>
          <w:sz w:val="22"/>
          <w:szCs w:val="22"/>
        </w:rPr>
        <w:t xml:space="preserve">The redirections were emotionally difficult but the final project is stronger for them. The multi-model comparative design gives the study a defensible novelty story that a single-model project would have lacked. Some of the environment work done earlier for the original detector project was not wasted — PyTorch, GPU verification, Colab Pro access, and general Python tooling all remain useful.</w:t>
      </w:r>
    </w:p>
    <w:p>
      <w:pPr>
        <w:spacing w:after="180" w:before="320"/>
      </w:pPr>
      <w:r>
        <w:rPr>
          <w:rFonts w:ascii="Calibri" w:cs="Calibri" w:eastAsia="Calibri" w:hAnsi="Calibri"/>
          <w:b/>
          <w:bCs/>
          <w:color w:val="1F3864"/>
          <w:sz w:val="30"/>
          <w:szCs w:val="30"/>
        </w:rPr>
        <w:t xml:space="preserve">Ongoing Weekly Entries (15 July 2026 onwards)</w:t>
      </w:r>
    </w:p>
    <w:p>
      <w:pPr>
        <w:spacing w:after="140" w:before="240"/>
      </w:pPr>
      <w:r>
        <w:rPr>
          <w:rFonts w:ascii="Calibri" w:cs="Calibri" w:eastAsia="Calibri" w:hAnsi="Calibri"/>
          <w:b/>
          <w:bCs/>
          <w:color w:val="2E5F8A"/>
          <w:sz w:val="26"/>
          <w:szCs w:val="26"/>
        </w:rPr>
        <w:t xml:space="preserve">Entry 9 — Week 1: 15 to 21 July 2026</w:t>
      </w:r>
    </w:p>
    <w:p>
      <w:pPr>
        <w:spacing w:after="100" w:line="300"/>
      </w:pPr>
      <w:r>
        <w:rPr>
          <w:rFonts w:ascii="Calibri" w:cs="Calibri" w:eastAsia="Calibri" w:hAnsi="Calibri"/>
          <w:b/>
          <w:bCs/>
          <w:sz w:val="22"/>
          <w:szCs w:val="22"/>
        </w:rPr>
        <w:t xml:space="preserve">Period: </w:t>
      </w:r>
      <w:r>
        <w:rPr>
          <w:rFonts w:ascii="Calibri" w:cs="Calibri" w:eastAsia="Calibri" w:hAnsi="Calibri"/>
          <w:sz w:val="22"/>
          <w:szCs w:val="22"/>
        </w:rPr>
        <w:t xml:space="preserve">15 July 2026 onwards — to be updated end of week</w:t>
      </w:r>
    </w:p>
    <w:p>
      <w:pPr>
        <w:spacing w:after="100" w:line="300"/>
      </w:pPr>
      <w:r>
        <w:rPr>
          <w:rFonts w:ascii="Calibri" w:cs="Calibri" w:eastAsia="Calibri" w:hAnsi="Calibri"/>
          <w:b/>
          <w:bCs/>
          <w:sz w:val="22"/>
          <w:szCs w:val="22"/>
        </w:rPr>
        <w:t xml:space="preserve">Planned tasks: </w:t>
      </w:r>
      <w:r>
        <w:rPr>
          <w:rFonts w:ascii="Calibri" w:cs="Calibri" w:eastAsia="Calibri" w:hAnsi="Calibri"/>
          <w:sz w:val="22"/>
          <w:szCs w:val="22"/>
        </w:rPr>
        <w:t xml:space="preserve">Send confirmation to supervisor. Restructure GitHub repository to reflect new project direction. Set up Colab Pro notebook for LTX-2.3. Install and verify LTX-2.3, HunyuanVideo, and Wan 2.7. Set up all four MLLMs (Claude, Gemini, Qwen, LLaVA). Verify end-to-end pipeline on 5 test videos. Draft standardised analysis prompt template.</w:t>
      </w:r>
    </w:p>
    <w:p>
      <w:pPr>
        <w:spacing w:after="100" w:line="300"/>
      </w:pPr>
      <w:r>
        <w:rPr>
          <w:rFonts w:ascii="Calibri" w:cs="Calibri" w:eastAsia="Calibri" w:hAnsi="Calibri"/>
          <w:b/>
          <w:bCs/>
          <w:sz w:val="22"/>
          <w:szCs w:val="22"/>
        </w:rPr>
        <w:t xml:space="preserve">Actual progress (Tuesday 15 July): </w:t>
      </w:r>
      <w:r>
        <w:rPr>
          <w:rFonts w:ascii="Calibri" w:cs="Calibri" w:eastAsia="Calibri" w:hAnsi="Calibri"/>
          <w:sz w:val="22"/>
          <w:szCs w:val="22"/>
        </w:rPr>
        <w:t xml:space="preserve">Sent supervisor confirmation via Teams. Restructured GitHub repository with new folder layout reflecting the corpus / code / dissertation / logbook / supervisor_communication structure. Updated .gitignore to exclude large video files. Wrote and committed a new README documenting project scope, RQs, and repository layout. Began reconstructing this logbook covering April to 14 July from GitHub commit history and Teams messages.</w:t>
      </w:r>
    </w:p>
    <w:p>
      <w:pPr>
        <w:spacing w:after="100" w:line="300"/>
      </w:pPr>
      <w:r>
        <w:rPr>
          <w:rFonts w:ascii="Calibri" w:cs="Calibri" w:eastAsia="Calibri" w:hAnsi="Calibri"/>
          <w:b/>
          <w:bCs/>
          <w:sz w:val="22"/>
          <w:szCs w:val="22"/>
        </w:rPr>
        <w:t xml:space="preserve">Actual progress (later in week): </w:t>
      </w:r>
      <w:r>
        <w:rPr>
          <w:rFonts w:ascii="Calibri" w:cs="Calibri" w:eastAsia="Calibri" w:hAnsi="Calibri"/>
          <w:sz w:val="22"/>
          <w:szCs w:val="22"/>
        </w:rPr>
        <w:t xml:space="preserve">[To be updated daily]</w:t>
      </w:r>
    </w:p>
    <w:p>
      <w:pPr>
        <w:spacing w:after="100" w:line="300"/>
      </w:pPr>
      <w:r>
        <w:rPr>
          <w:rFonts w:ascii="Calibri" w:cs="Calibri" w:eastAsia="Calibri" w:hAnsi="Calibri"/>
          <w:b/>
          <w:bCs/>
          <w:sz w:val="22"/>
          <w:szCs w:val="22"/>
        </w:rPr>
        <w:t xml:space="preserve">Blockers: </w:t>
      </w:r>
      <w:r>
        <w:rPr>
          <w:rFonts w:ascii="Calibri" w:cs="Calibri" w:eastAsia="Calibri" w:hAnsi="Calibri"/>
          <w:sz w:val="22"/>
          <w:szCs w:val="22"/>
        </w:rPr>
        <w:t xml:space="preserve">[To be noted as they arise]</w:t>
      </w:r>
    </w:p>
    <w:p>
      <w:pPr>
        <w:spacing w:after="100" w:line="300"/>
      </w:pPr>
      <w:r>
        <w:rPr>
          <w:rFonts w:ascii="Calibri" w:cs="Calibri" w:eastAsia="Calibri" w:hAnsi="Calibri"/>
          <w:b/>
          <w:bCs/>
          <w:sz w:val="22"/>
          <w:szCs w:val="22"/>
        </w:rPr>
        <w:t xml:space="preserve">Decisions made and reasoning: </w:t>
      </w:r>
      <w:r>
        <w:rPr>
          <w:rFonts w:ascii="Calibri" w:cs="Calibri" w:eastAsia="Calibri" w:hAnsi="Calibri"/>
          <w:sz w:val="22"/>
          <w:szCs w:val="22"/>
        </w:rPr>
        <w:t xml:space="preserve">[To be added as decisions occur]</w:t>
      </w:r>
    </w:p>
    <w:p>
      <w:pPr>
        <w:spacing w:after="100" w:line="300"/>
      </w:pPr>
      <w:r>
        <w:rPr>
          <w:rFonts w:ascii="Calibri" w:cs="Calibri" w:eastAsia="Calibri" w:hAnsi="Calibri"/>
          <w:b/>
          <w:bCs/>
          <w:sz w:val="22"/>
          <w:szCs w:val="22"/>
        </w:rPr>
        <w:t xml:space="preserve">Supervisor interactions this week: </w:t>
      </w:r>
      <w:r>
        <w:rPr>
          <w:rFonts w:ascii="Calibri" w:cs="Calibri" w:eastAsia="Calibri" w:hAnsi="Calibri"/>
          <w:sz w:val="22"/>
          <w:szCs w:val="22"/>
        </w:rPr>
        <w:t xml:space="preserve">[To be recorded]</w:t>
      </w:r>
    </w:p>
    <w:p>
      <w:pPr>
        <w:spacing w:after="100" w:line="300"/>
      </w:pPr>
      <w:r>
        <w:rPr>
          <w:rFonts w:ascii="Calibri" w:cs="Calibri" w:eastAsia="Calibri" w:hAnsi="Calibri"/>
          <w:b/>
          <w:bCs/>
          <w:sz w:val="22"/>
          <w:szCs w:val="22"/>
        </w:rPr>
        <w:t xml:space="preserve">Plan for next week: </w:t>
      </w:r>
      <w:r>
        <w:rPr>
          <w:rFonts w:ascii="Calibri" w:cs="Calibri" w:eastAsia="Calibri" w:hAnsi="Calibri"/>
          <w:sz w:val="22"/>
          <w:szCs w:val="22"/>
        </w:rPr>
        <w:t xml:space="preserve">[To be filled at end of week]</w:t>
      </w:r>
    </w:p>
    <w:p>
      <w:pPr>
        <w:spacing w:after="180" w:before="320"/>
      </w:pPr>
      <w:r>
        <w:rPr>
          <w:rFonts w:ascii="Calibri" w:cs="Calibri" w:eastAsia="Calibri" w:hAnsi="Calibri"/>
          <w:b/>
          <w:bCs/>
          <w:color w:val="1F3864"/>
          <w:sz w:val="30"/>
          <w:szCs w:val="30"/>
        </w:rPr>
        <w:t xml:space="preserve">Template for Future Weekly Entries</w:t>
      </w:r>
    </w:p>
    <w:p>
      <w:pPr>
        <w:spacing w:after="120" w:before="0" w:line="300"/>
        <w:jc w:val="left"/>
      </w:pPr>
      <w:r>
        <w:rPr>
          <w:rFonts w:ascii="Calibri" w:cs="Calibri" w:eastAsia="Calibri" w:hAnsi="Calibri"/>
          <w:sz w:val="22"/>
          <w:szCs w:val="22"/>
        </w:rPr>
        <w:t xml:space="preserve">Each week from 22 July onwards follows this template:</w:t>
      </w:r>
    </w:p>
    <w:p>
      <w:pPr>
        <w:spacing w:after="80"/>
        <w:ind w:left="360"/>
      </w:pPr>
      <w:r>
        <w:rPr>
          <w:rFonts w:ascii="Calibri" w:cs="Calibri" w:eastAsia="Calibri" w:hAnsi="Calibri"/>
          <w:sz w:val="22"/>
          <w:szCs w:val="22"/>
        </w:rPr>
        <w:t xml:space="preserve">• Period covered (Tuesday to Monday of the following week)</w:t>
      </w:r>
    </w:p>
    <w:p>
      <w:pPr>
        <w:spacing w:after="80"/>
        <w:ind w:left="360"/>
      </w:pPr>
      <w:r>
        <w:rPr>
          <w:rFonts w:ascii="Calibri" w:cs="Calibri" w:eastAsia="Calibri" w:hAnsi="Calibri"/>
          <w:sz w:val="22"/>
          <w:szCs w:val="22"/>
        </w:rPr>
        <w:t xml:space="preserve">• Planned tasks (from the work plan)</w:t>
      </w:r>
    </w:p>
    <w:p>
      <w:pPr>
        <w:spacing w:after="80"/>
        <w:ind w:left="360"/>
      </w:pPr>
      <w:r>
        <w:rPr>
          <w:rFonts w:ascii="Calibri" w:cs="Calibri" w:eastAsia="Calibri" w:hAnsi="Calibri"/>
          <w:sz w:val="22"/>
          <w:szCs w:val="22"/>
        </w:rPr>
        <w:t xml:space="preserve">• Actual progress (day by day)</w:t>
      </w:r>
    </w:p>
    <w:p>
      <w:pPr>
        <w:spacing w:after="80"/>
        <w:ind w:left="360"/>
      </w:pPr>
      <w:r>
        <w:rPr>
          <w:rFonts w:ascii="Calibri" w:cs="Calibri" w:eastAsia="Calibri" w:hAnsi="Calibri"/>
          <w:sz w:val="22"/>
          <w:szCs w:val="22"/>
        </w:rPr>
        <w:t xml:space="preserve">• Blockers encountered</w:t>
      </w:r>
    </w:p>
    <w:p>
      <w:pPr>
        <w:spacing w:after="80"/>
        <w:ind w:left="360"/>
      </w:pPr>
      <w:r>
        <w:rPr>
          <w:rFonts w:ascii="Calibri" w:cs="Calibri" w:eastAsia="Calibri" w:hAnsi="Calibri"/>
          <w:sz w:val="22"/>
          <w:szCs w:val="22"/>
        </w:rPr>
        <w:t xml:space="preserve">• How blockers were resolved</w:t>
      </w:r>
    </w:p>
    <w:p>
      <w:pPr>
        <w:spacing w:after="80"/>
        <w:ind w:left="360"/>
      </w:pPr>
      <w:r>
        <w:rPr>
          <w:rFonts w:ascii="Calibri" w:cs="Calibri" w:eastAsia="Calibri" w:hAnsi="Calibri"/>
          <w:sz w:val="22"/>
          <w:szCs w:val="22"/>
        </w:rPr>
        <w:t xml:space="preserve">• Key decisions made and reasoning</w:t>
      </w:r>
    </w:p>
    <w:p>
      <w:pPr>
        <w:spacing w:after="80"/>
        <w:ind w:left="360"/>
      </w:pPr>
      <w:r>
        <w:rPr>
          <w:rFonts w:ascii="Calibri" w:cs="Calibri" w:eastAsia="Calibri" w:hAnsi="Calibri"/>
          <w:sz w:val="22"/>
          <w:szCs w:val="22"/>
        </w:rPr>
        <w:t xml:space="preserve">• Supervisor interactions (messages, meetings, feedback)</w:t>
      </w:r>
    </w:p>
    <w:p>
      <w:pPr>
        <w:spacing w:after="80"/>
        <w:ind w:left="360"/>
      </w:pPr>
      <w:r>
        <w:rPr>
          <w:rFonts w:ascii="Calibri" w:cs="Calibri" w:eastAsia="Calibri" w:hAnsi="Calibri"/>
          <w:sz w:val="22"/>
          <w:szCs w:val="22"/>
        </w:rPr>
        <w:t xml:space="preserve">• Reflection on the week</w:t>
      </w:r>
    </w:p>
    <w:p>
      <w:pPr>
        <w:spacing w:after="80"/>
        <w:ind w:left="360"/>
      </w:pPr>
      <w:r>
        <w:rPr>
          <w:rFonts w:ascii="Calibri" w:cs="Calibri" w:eastAsia="Calibri" w:hAnsi="Calibri"/>
          <w:sz w:val="22"/>
          <w:szCs w:val="22"/>
        </w:rPr>
        <w:t xml:space="preserve">• Plan for the next week</w:t>
      </w:r>
    </w:p>
    <w:p>
      <w:pPr>
        <w:spacing w:after="120" w:before="0" w:line="300"/>
        <w:jc w:val="left"/>
      </w:pPr>
      <w:r>
        <w:rPr>
          <w:rFonts w:ascii="Calibri" w:cs="Calibri" w:eastAsia="Calibri" w:hAnsi="Calibri"/>
          <w:sz w:val="22"/>
          <w:szCs w:val="22"/>
        </w:rPr>
        <w:t xml:space="preserve">Weekly entries are written on the final day of each week (Monday). Additional short notes may be added during the week if significant events occur (e.g. a supervisor meeting or a substantial technical decision).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Un-named</cp:lastModifiedBy>
  <cp:revision>1</cp:revision>
  <dcterms:created xsi:type="dcterms:W3CDTF">2026-07-16T10:26:49.615Z</dcterms:created>
  <dcterms:modified xsi:type="dcterms:W3CDTF">2026-07-16T10:26:49.629Z</dcterms:modified>
</cp:coreProperties>
</file>

<file path=docProps/custom.xml><?xml version="1.0" encoding="utf-8"?>
<Properties xmlns="http://schemas.openxmlformats.org/officeDocument/2006/custom-properties" xmlns:vt="http://schemas.openxmlformats.org/officeDocument/2006/docPropsVTypes"/>
</file>