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fichier-de-cadrage"/>
    <w:p>
      <w:pPr>
        <w:pStyle w:val="Heading1"/>
      </w:pPr>
      <w:r>
        <w:t xml:space="preserve">📄 FICHIER DE CADRAGE</w:t>
      </w:r>
    </w:p>
    <w:bookmarkStart w:id="20" w:name="X507e1acb64e28be3ab433ba3e545482df7609d5"/>
    <w:p>
      <w:pPr>
        <w:pStyle w:val="Heading2"/>
      </w:pPr>
      <w:r>
        <w:t xml:space="preserve">Application de gestion des flux financiers personnels</w:t>
      </w:r>
    </w:p>
    <w:p>
      <w:r>
        <w:pict>
          <v:rect style="width:0;height:1.5pt" o:hralign="center" o:hrstd="t" o:hr="t"/>
        </w:pict>
      </w:r>
    </w:p>
    <w:bookmarkEnd w:id="20"/>
    <w:bookmarkStart w:id="21" w:name="contexte-et-enjeux"/>
    <w:p>
      <w:pPr>
        <w:pStyle w:val="Heading2"/>
      </w:pPr>
      <w:r>
        <w:t xml:space="preserve">1. Contexte et enjeux</w:t>
      </w:r>
    </w:p>
    <w:p>
      <w:pPr>
        <w:pStyle w:val="FirstParagraph"/>
      </w:pPr>
      <w:r>
        <w:t xml:space="preserve">La gestion des finances personnelles reste une problématique majeure pour une large partie de la population (salariés, freelances, étudiants, familles, investisseurs débutants). Malgré l’existence de plusieurs applications de budget, beaucoup d’utilisateurs :</w:t>
      </w:r>
      <w:r>
        <w:t xml:space="preserve"> </w:t>
      </w:r>
      <w:r>
        <w:t xml:space="preserve">- ne comprennent pas clairement où va leur argent,</w:t>
      </w:r>
      <w:r>
        <w:t xml:space="preserve"> </w:t>
      </w:r>
      <w:r>
        <w:t xml:space="preserve">- n’arrivent pas à anticiper leurs dépenses futures,</w:t>
      </w:r>
      <w:r>
        <w:t xml:space="preserve"> </w:t>
      </w:r>
      <w:r>
        <w:t xml:space="preserve">- peinent à épargner ou à investir,</w:t>
      </w:r>
      <w:r>
        <w:t xml:space="preserve"> </w:t>
      </w:r>
      <w:r>
        <w:t xml:space="preserve">- prennent des décisions financières sans visibilité globale.</w:t>
      </w:r>
    </w:p>
    <w:p>
      <w:pPr>
        <w:pStyle w:val="BodyText"/>
      </w:pPr>
      <w:r>
        <w:t xml:space="preserve">Ce projet vise à concevoir une</w:t>
      </w:r>
      <w:r>
        <w:t xml:space="preserve"> </w:t>
      </w:r>
      <w:r>
        <w:rPr>
          <w:b/>
          <w:bCs/>
        </w:rPr>
        <w:t xml:space="preserve">application grand public de gestion des flux financiers</w:t>
      </w:r>
      <w:r>
        <w:t xml:space="preserve"> </w:t>
      </w:r>
      <w:r>
        <w:t xml:space="preserve">apportant une</w:t>
      </w:r>
      <w:r>
        <w:t xml:space="preserve"> </w:t>
      </w:r>
      <w:r>
        <w:rPr>
          <w:b/>
          <w:bCs/>
        </w:rPr>
        <w:t xml:space="preserve">valeur ajoutée claire</w:t>
      </w:r>
      <w:r>
        <w:t xml:space="preserve">, centrée sur la compréhension, l’anticipation et l’aide à la décision.</w:t>
      </w:r>
    </w:p>
    <w:p>
      <w:r>
        <w:pict>
          <v:rect style="width:0;height:1.5pt" o:hralign="center" o:hrstd="t" o:hr="t"/>
        </w:pict>
      </w:r>
    </w:p>
    <w:bookmarkEnd w:id="21"/>
    <w:bookmarkStart w:id="24" w:name="objectifs-du-projet"/>
    <w:p>
      <w:pPr>
        <w:pStyle w:val="Heading2"/>
      </w:pPr>
      <w:r>
        <w:t xml:space="preserve">2. Objectifs du projet</w:t>
      </w:r>
    </w:p>
    <w:bookmarkStart w:id="22" w:name="objectif-principal"/>
    <w:p>
      <w:pPr>
        <w:pStyle w:val="Heading3"/>
      </w:pPr>
      <w:r>
        <w:t xml:space="preserve">Objectif principal</w:t>
      </w:r>
    </w:p>
    <w:p>
      <w:pPr>
        <w:pStyle w:val="FirstParagraph"/>
      </w:pPr>
      <w:r>
        <w:t xml:space="preserve">Permettre à chaque utilisateur de</w:t>
      </w:r>
      <w:r>
        <w:t xml:space="preserve"> </w:t>
      </w:r>
      <w:r>
        <w:rPr>
          <w:b/>
          <w:bCs/>
        </w:rPr>
        <w:t xml:space="preserve">piloter sa situation financière personnelle</w:t>
      </w:r>
      <w:r>
        <w:t xml:space="preserve"> </w:t>
      </w:r>
      <w:r>
        <w:t xml:space="preserve">de manière simple, fiable et proactive.</w:t>
      </w:r>
    </w:p>
    <w:bookmarkEnd w:id="22"/>
    <w:bookmarkStart w:id="23" w:name="objectifs-spécifiques"/>
    <w:p>
      <w:pPr>
        <w:pStyle w:val="Heading3"/>
      </w:pPr>
      <w:r>
        <w:t xml:space="preserve">Objectifs spécifiques</w:t>
      </w:r>
    </w:p>
    <w:p>
      <w:pPr>
        <w:pStyle w:val="Compact"/>
        <w:numPr>
          <w:ilvl w:val="0"/>
          <w:numId w:val="1001"/>
        </w:numPr>
      </w:pPr>
      <w:r>
        <w:t xml:space="preserve">Centraliser les flux entrants et sortants</w:t>
      </w:r>
    </w:p>
    <w:p>
      <w:pPr>
        <w:pStyle w:val="Compact"/>
        <w:numPr>
          <w:ilvl w:val="0"/>
          <w:numId w:val="1001"/>
        </w:numPr>
      </w:pPr>
      <w:r>
        <w:t xml:space="preserve">Donner une vision claire du cash-flow</w:t>
      </w:r>
    </w:p>
    <w:p>
      <w:pPr>
        <w:pStyle w:val="Compact"/>
        <w:numPr>
          <w:ilvl w:val="0"/>
          <w:numId w:val="1001"/>
        </w:numPr>
      </w:pPr>
      <w:r>
        <w:t xml:space="preserve">Aider à maîtriser les dépenses</w:t>
      </w:r>
    </w:p>
    <w:p>
      <w:pPr>
        <w:pStyle w:val="Compact"/>
        <w:numPr>
          <w:ilvl w:val="0"/>
          <w:numId w:val="1001"/>
        </w:numPr>
      </w:pPr>
      <w:r>
        <w:t xml:space="preserve">Faciliter l’épargne et la planification</w:t>
      </w:r>
    </w:p>
    <w:p>
      <w:pPr>
        <w:pStyle w:val="Compact"/>
        <w:numPr>
          <w:ilvl w:val="0"/>
          <w:numId w:val="1001"/>
        </w:numPr>
      </w:pPr>
      <w:r>
        <w:t xml:space="preserve">Aider à la prise de décision financière</w:t>
      </w:r>
    </w:p>
    <w:p>
      <w:pPr>
        <w:pStyle w:val="Compact"/>
        <w:numPr>
          <w:ilvl w:val="0"/>
          <w:numId w:val="1001"/>
        </w:numPr>
      </w:pPr>
      <w:r>
        <w:t xml:space="preserve">Rendre la finance personnelle accessible à tous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périmètre-fonctionnel"/>
    <w:p>
      <w:pPr>
        <w:pStyle w:val="Heading2"/>
      </w:pPr>
      <w:r>
        <w:t xml:space="preserve">3. Périmètre fonctionnel</w:t>
      </w:r>
    </w:p>
    <w:bookmarkStart w:id="25" w:name="inclus"/>
    <w:p>
      <w:pPr>
        <w:pStyle w:val="Heading3"/>
      </w:pPr>
      <w:r>
        <w:t xml:space="preserve">Inclus</w:t>
      </w:r>
    </w:p>
    <w:p>
      <w:pPr>
        <w:pStyle w:val="Compact"/>
        <w:numPr>
          <w:ilvl w:val="0"/>
          <w:numId w:val="1002"/>
        </w:numPr>
      </w:pPr>
      <w:r>
        <w:t xml:space="preserve">Gestion des revenus</w:t>
      </w:r>
    </w:p>
    <w:p>
      <w:pPr>
        <w:pStyle w:val="Compact"/>
        <w:numPr>
          <w:ilvl w:val="0"/>
          <w:numId w:val="1002"/>
        </w:numPr>
      </w:pPr>
      <w:r>
        <w:t xml:space="preserve">Gestion des dépenses</w:t>
      </w:r>
    </w:p>
    <w:p>
      <w:pPr>
        <w:pStyle w:val="Compact"/>
        <w:numPr>
          <w:ilvl w:val="0"/>
          <w:numId w:val="1002"/>
        </w:numPr>
      </w:pPr>
      <w:r>
        <w:t xml:space="preserve">Budgets</w:t>
      </w:r>
    </w:p>
    <w:p>
      <w:pPr>
        <w:pStyle w:val="Compact"/>
        <w:numPr>
          <w:ilvl w:val="0"/>
          <w:numId w:val="1002"/>
        </w:numPr>
      </w:pPr>
      <w:r>
        <w:t xml:space="preserve">Tableaux de bord</w:t>
      </w:r>
    </w:p>
    <w:p>
      <w:pPr>
        <w:pStyle w:val="Compact"/>
        <w:numPr>
          <w:ilvl w:val="0"/>
          <w:numId w:val="1002"/>
        </w:numPr>
      </w:pPr>
      <w:r>
        <w:t xml:space="preserve">Prévisions financières</w:t>
      </w:r>
    </w:p>
    <w:p>
      <w:pPr>
        <w:pStyle w:val="Compact"/>
        <w:numPr>
          <w:ilvl w:val="0"/>
          <w:numId w:val="1002"/>
        </w:numPr>
      </w:pPr>
      <w:r>
        <w:t xml:space="preserve">Objectifs financiers</w:t>
      </w:r>
    </w:p>
    <w:p>
      <w:pPr>
        <w:pStyle w:val="Compact"/>
        <w:numPr>
          <w:ilvl w:val="0"/>
          <w:numId w:val="1002"/>
        </w:numPr>
      </w:pPr>
      <w:r>
        <w:t xml:space="preserve">Alertes et notifications</w:t>
      </w:r>
    </w:p>
    <w:bookmarkEnd w:id="25"/>
    <w:bookmarkStart w:id="26" w:name="exclus-première-version"/>
    <w:p>
      <w:pPr>
        <w:pStyle w:val="Heading3"/>
      </w:pPr>
      <w:r>
        <w:t xml:space="preserve">Exclus (première version)</w:t>
      </w:r>
    </w:p>
    <w:p>
      <w:pPr>
        <w:pStyle w:val="Compact"/>
        <w:numPr>
          <w:ilvl w:val="0"/>
          <w:numId w:val="1003"/>
        </w:numPr>
      </w:pPr>
      <w:r>
        <w:t xml:space="preserve">Trading en temps réel</w:t>
      </w:r>
    </w:p>
    <w:p>
      <w:pPr>
        <w:pStyle w:val="Compact"/>
        <w:numPr>
          <w:ilvl w:val="0"/>
          <w:numId w:val="1003"/>
        </w:numPr>
      </w:pPr>
      <w:r>
        <w:t xml:space="preserve">Conseil financier réglementé</w:t>
      </w:r>
    </w:p>
    <w:p>
      <w:pPr>
        <w:pStyle w:val="Compact"/>
        <w:numPr>
          <w:ilvl w:val="0"/>
          <w:numId w:val="1003"/>
        </w:numPr>
      </w:pPr>
      <w:r>
        <w:t xml:space="preserve">Crédit bancaire automatisé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ibles-utilisateurs"/>
    <w:p>
      <w:pPr>
        <w:pStyle w:val="Heading2"/>
      </w:pPr>
      <w:r>
        <w:t xml:space="preserve">4. Cibles utilisateurs</w:t>
      </w:r>
    </w:p>
    <w:p>
      <w:pPr>
        <w:pStyle w:val="Compact"/>
        <w:numPr>
          <w:ilvl w:val="0"/>
          <w:numId w:val="1004"/>
        </w:numPr>
      </w:pPr>
      <w:r>
        <w:t xml:space="preserve">Salariés</w:t>
      </w:r>
    </w:p>
    <w:p>
      <w:pPr>
        <w:pStyle w:val="Compact"/>
        <w:numPr>
          <w:ilvl w:val="0"/>
          <w:numId w:val="1004"/>
        </w:numPr>
      </w:pPr>
      <w:r>
        <w:t xml:space="preserve">Freelances / indépendants</w:t>
      </w:r>
    </w:p>
    <w:p>
      <w:pPr>
        <w:pStyle w:val="Compact"/>
        <w:numPr>
          <w:ilvl w:val="0"/>
          <w:numId w:val="1004"/>
        </w:numPr>
      </w:pPr>
      <w:r>
        <w:t xml:space="preserve">Étudiants</w:t>
      </w:r>
    </w:p>
    <w:p>
      <w:pPr>
        <w:pStyle w:val="Compact"/>
        <w:numPr>
          <w:ilvl w:val="0"/>
          <w:numId w:val="1004"/>
        </w:numPr>
      </w:pPr>
      <w:r>
        <w:t xml:space="preserve">Couples / familles</w:t>
      </w:r>
    </w:p>
    <w:p>
      <w:pPr>
        <w:pStyle w:val="Compact"/>
        <w:numPr>
          <w:ilvl w:val="0"/>
          <w:numId w:val="1004"/>
        </w:numPr>
      </w:pPr>
      <w:r>
        <w:t xml:space="preserve">Investisseurs débutants</w:t>
      </w:r>
    </w:p>
    <w:p>
      <w:r>
        <w:pict>
          <v:rect style="width:0;height:1.5pt" o:hralign="center" o:hrstd="t" o:hr="t"/>
        </w:pict>
      </w:r>
    </w:p>
    <w:bookmarkEnd w:id="28"/>
    <w:bookmarkStart w:id="29" w:name="problématiques-utilisateurs-couvertes"/>
    <w:p>
      <w:pPr>
        <w:pStyle w:val="Heading2"/>
      </w:pPr>
      <w:r>
        <w:t xml:space="preserve">5. Problématiques utilisateurs couvertes</w:t>
      </w:r>
    </w:p>
    <w:p>
      <w:pPr>
        <w:pStyle w:val="Compact"/>
        <w:numPr>
          <w:ilvl w:val="0"/>
          <w:numId w:val="1005"/>
        </w:numPr>
      </w:pPr>
      <w:r>
        <w:t xml:space="preserve">Manque de visibilité financière</w:t>
      </w:r>
    </w:p>
    <w:p>
      <w:pPr>
        <w:pStyle w:val="Compact"/>
        <w:numPr>
          <w:ilvl w:val="0"/>
          <w:numId w:val="1005"/>
        </w:numPr>
      </w:pPr>
      <w:r>
        <w:t xml:space="preserve">Dépenses incontrôlées</w:t>
      </w:r>
    </w:p>
    <w:p>
      <w:pPr>
        <w:pStyle w:val="Compact"/>
        <w:numPr>
          <w:ilvl w:val="0"/>
          <w:numId w:val="1005"/>
        </w:numPr>
      </w:pPr>
      <w:r>
        <w:t xml:space="preserve">Absence d’anticipation</w:t>
      </w:r>
    </w:p>
    <w:p>
      <w:pPr>
        <w:pStyle w:val="Compact"/>
        <w:numPr>
          <w:ilvl w:val="0"/>
          <w:numId w:val="1005"/>
        </w:numPr>
      </w:pPr>
      <w:r>
        <w:t xml:space="preserve">Difficulté à épargner</w:t>
      </w:r>
    </w:p>
    <w:p>
      <w:pPr>
        <w:pStyle w:val="Compact"/>
        <w:numPr>
          <w:ilvl w:val="0"/>
          <w:numId w:val="1005"/>
        </w:numPr>
      </w:pPr>
      <w:r>
        <w:t xml:space="preserve">Décisions financières risquées</w:t>
      </w:r>
    </w:p>
    <w:p>
      <w:r>
        <w:pict>
          <v:rect style="width:0;height:1.5pt" o:hralign="center" o:hrstd="t" o:hr="t"/>
        </w:pict>
      </w:r>
    </w:p>
    <w:bookmarkEnd w:id="29"/>
    <w:bookmarkStart w:id="37" w:name="fonctionnalités-clés"/>
    <w:p>
      <w:pPr>
        <w:pStyle w:val="Heading2"/>
      </w:pPr>
      <w:r>
        <w:t xml:space="preserve">6. Fonctionnalités clés</w:t>
      </w:r>
    </w:p>
    <w:bookmarkStart w:id="30" w:name="gestion-des-flux-entrants"/>
    <w:p>
      <w:pPr>
        <w:pStyle w:val="Heading3"/>
      </w:pPr>
      <w:r>
        <w:t xml:space="preserve">6.1 Gestion des flux entrants</w:t>
      </w:r>
    </w:p>
    <w:p>
      <w:pPr>
        <w:pStyle w:val="Compact"/>
        <w:numPr>
          <w:ilvl w:val="0"/>
          <w:numId w:val="1006"/>
        </w:numPr>
      </w:pPr>
      <w:r>
        <w:t xml:space="preserve">Salaire</w:t>
      </w:r>
    </w:p>
    <w:p>
      <w:pPr>
        <w:pStyle w:val="Compact"/>
        <w:numPr>
          <w:ilvl w:val="0"/>
          <w:numId w:val="1006"/>
        </w:numPr>
      </w:pPr>
      <w:r>
        <w:t xml:space="preserve">Revenus freelances</w:t>
      </w:r>
    </w:p>
    <w:p>
      <w:pPr>
        <w:pStyle w:val="Compact"/>
        <w:numPr>
          <w:ilvl w:val="0"/>
          <w:numId w:val="1006"/>
        </w:numPr>
      </w:pPr>
      <w:r>
        <w:t xml:space="preserve">Revenus d’investissement</w:t>
      </w:r>
    </w:p>
    <w:p>
      <w:pPr>
        <w:pStyle w:val="Compact"/>
        <w:numPr>
          <w:ilvl w:val="0"/>
          <w:numId w:val="1006"/>
        </w:numPr>
      </w:pPr>
      <w:r>
        <w:t xml:space="preserve">Revenus exceptionnels</w:t>
      </w:r>
    </w:p>
    <w:p>
      <w:pPr>
        <w:pStyle w:val="Compact"/>
        <w:numPr>
          <w:ilvl w:val="0"/>
          <w:numId w:val="1006"/>
        </w:numPr>
      </w:pPr>
      <w:r>
        <w:t xml:space="preserve">Fréquence et prévisibilité</w:t>
      </w:r>
    </w:p>
    <w:bookmarkEnd w:id="30"/>
    <w:bookmarkStart w:id="31" w:name="gestion-des-flux-sortants"/>
    <w:p>
      <w:pPr>
        <w:pStyle w:val="Heading3"/>
      </w:pPr>
      <w:r>
        <w:t xml:space="preserve">6.2 Gestion des flux sortants</w:t>
      </w:r>
    </w:p>
    <w:p>
      <w:pPr>
        <w:pStyle w:val="Compact"/>
        <w:numPr>
          <w:ilvl w:val="0"/>
          <w:numId w:val="1007"/>
        </w:numPr>
      </w:pPr>
      <w:r>
        <w:t xml:space="preserve">Dépenses fixes et variables</w:t>
      </w:r>
    </w:p>
    <w:p>
      <w:pPr>
        <w:pStyle w:val="Compact"/>
        <w:numPr>
          <w:ilvl w:val="0"/>
          <w:numId w:val="1007"/>
        </w:numPr>
      </w:pPr>
      <w:r>
        <w:t xml:space="preserve">Catégorisation automatique</w:t>
      </w:r>
    </w:p>
    <w:p>
      <w:pPr>
        <w:pStyle w:val="Compact"/>
        <w:numPr>
          <w:ilvl w:val="0"/>
          <w:numId w:val="1007"/>
        </w:numPr>
      </w:pPr>
      <w:r>
        <w:t xml:space="preserve">Dépenses récurrentes</w:t>
      </w:r>
    </w:p>
    <w:p>
      <w:pPr>
        <w:pStyle w:val="Compact"/>
        <w:numPr>
          <w:ilvl w:val="0"/>
          <w:numId w:val="1007"/>
        </w:numPr>
      </w:pPr>
      <w:r>
        <w:t xml:space="preserve">Dépenses exceptionnelles</w:t>
      </w:r>
    </w:p>
    <w:bookmarkEnd w:id="31"/>
    <w:bookmarkStart w:id="32" w:name="budgets"/>
    <w:p>
      <w:pPr>
        <w:pStyle w:val="Heading3"/>
      </w:pPr>
      <w:r>
        <w:t xml:space="preserve">6.3 Budgets</w:t>
      </w:r>
    </w:p>
    <w:p>
      <w:pPr>
        <w:pStyle w:val="Compact"/>
        <w:numPr>
          <w:ilvl w:val="0"/>
          <w:numId w:val="1008"/>
        </w:numPr>
      </w:pPr>
      <w:r>
        <w:t xml:space="preserve">Budget par catégorie</w:t>
      </w:r>
    </w:p>
    <w:p>
      <w:pPr>
        <w:pStyle w:val="Compact"/>
        <w:numPr>
          <w:ilvl w:val="0"/>
          <w:numId w:val="1008"/>
        </w:numPr>
      </w:pPr>
      <w:r>
        <w:t xml:space="preserve">Budget mensuel</w:t>
      </w:r>
    </w:p>
    <w:p>
      <w:pPr>
        <w:pStyle w:val="Compact"/>
        <w:numPr>
          <w:ilvl w:val="0"/>
          <w:numId w:val="1008"/>
        </w:numPr>
      </w:pPr>
      <w:r>
        <w:t xml:space="preserve">Alertes de dépassement</w:t>
      </w:r>
    </w:p>
    <w:p>
      <w:pPr>
        <w:pStyle w:val="Compact"/>
        <w:numPr>
          <w:ilvl w:val="0"/>
          <w:numId w:val="1008"/>
        </w:numPr>
      </w:pPr>
      <w:r>
        <w:t xml:space="preserve">Ajustement automatique</w:t>
      </w:r>
    </w:p>
    <w:bookmarkEnd w:id="32"/>
    <w:bookmarkStart w:id="33" w:name="tableau-de-bord"/>
    <w:p>
      <w:pPr>
        <w:pStyle w:val="Heading3"/>
      </w:pPr>
      <w:r>
        <w:t xml:space="preserve">6.4 Tableau de bord</w:t>
      </w:r>
    </w:p>
    <w:p>
      <w:pPr>
        <w:pStyle w:val="Compact"/>
        <w:numPr>
          <w:ilvl w:val="0"/>
          <w:numId w:val="1009"/>
        </w:numPr>
      </w:pPr>
      <w:r>
        <w:t xml:space="preserve">Solde actuel</w:t>
      </w:r>
    </w:p>
    <w:p>
      <w:pPr>
        <w:pStyle w:val="Compact"/>
        <w:numPr>
          <w:ilvl w:val="0"/>
          <w:numId w:val="1009"/>
        </w:numPr>
      </w:pPr>
      <w:r>
        <w:t xml:space="preserve">Cash-flow mensuel</w:t>
      </w:r>
    </w:p>
    <w:p>
      <w:pPr>
        <w:pStyle w:val="Compact"/>
        <w:numPr>
          <w:ilvl w:val="0"/>
          <w:numId w:val="1009"/>
        </w:numPr>
      </w:pPr>
      <w:r>
        <w:t xml:space="preserve">Taux d’épargne</w:t>
      </w:r>
    </w:p>
    <w:p>
      <w:pPr>
        <w:pStyle w:val="Compact"/>
        <w:numPr>
          <w:ilvl w:val="0"/>
          <w:numId w:val="1009"/>
        </w:numPr>
      </w:pPr>
      <w:r>
        <w:t xml:space="preserve">Dépenses par catégorie</w:t>
      </w:r>
    </w:p>
    <w:p>
      <w:pPr>
        <w:pStyle w:val="Compact"/>
        <w:numPr>
          <w:ilvl w:val="0"/>
          <w:numId w:val="1009"/>
        </w:numPr>
      </w:pPr>
      <w:r>
        <w:t xml:space="preserve">Évolution dans le temps</w:t>
      </w:r>
    </w:p>
    <w:bookmarkEnd w:id="33"/>
    <w:bookmarkStart w:id="34" w:name="prévisions-et-simulations"/>
    <w:p>
      <w:pPr>
        <w:pStyle w:val="Heading3"/>
      </w:pPr>
      <w:r>
        <w:t xml:space="preserve">6.5 Prévisions et simulations</w:t>
      </w:r>
    </w:p>
    <w:p>
      <w:pPr>
        <w:pStyle w:val="Compact"/>
        <w:numPr>
          <w:ilvl w:val="0"/>
          <w:numId w:val="1010"/>
        </w:numPr>
      </w:pPr>
      <w:r>
        <w:t xml:space="preserve">Projection mensuelle</w:t>
      </w:r>
    </w:p>
    <w:p>
      <w:pPr>
        <w:pStyle w:val="Compact"/>
        <w:numPr>
          <w:ilvl w:val="0"/>
          <w:numId w:val="1010"/>
        </w:numPr>
      </w:pPr>
      <w:r>
        <w:t xml:space="preserve">Simulation de dépenses futures</w:t>
      </w:r>
    </w:p>
    <w:p>
      <w:pPr>
        <w:pStyle w:val="Compact"/>
        <w:numPr>
          <w:ilvl w:val="0"/>
          <w:numId w:val="1010"/>
        </w:numPr>
      </w:pPr>
      <w:r>
        <w:t xml:space="preserve">Simulation d’objectifs</w:t>
      </w:r>
    </w:p>
    <w:bookmarkEnd w:id="34"/>
    <w:bookmarkStart w:id="35" w:name="objectifs-financiers"/>
    <w:p>
      <w:pPr>
        <w:pStyle w:val="Heading3"/>
      </w:pPr>
      <w:r>
        <w:t xml:space="preserve">6.6 Objectifs financiers</w:t>
      </w:r>
    </w:p>
    <w:p>
      <w:pPr>
        <w:pStyle w:val="Compact"/>
        <w:numPr>
          <w:ilvl w:val="0"/>
          <w:numId w:val="1011"/>
        </w:numPr>
      </w:pPr>
      <w:r>
        <w:t xml:space="preserve">Création d’objectifs</w:t>
      </w:r>
    </w:p>
    <w:p>
      <w:pPr>
        <w:pStyle w:val="Compact"/>
        <w:numPr>
          <w:ilvl w:val="0"/>
          <w:numId w:val="1011"/>
        </w:numPr>
      </w:pPr>
      <w:r>
        <w:t xml:space="preserve">Suivi de progression</w:t>
      </w:r>
    </w:p>
    <w:p>
      <w:pPr>
        <w:pStyle w:val="Compact"/>
        <w:numPr>
          <w:ilvl w:val="0"/>
          <w:numId w:val="1011"/>
        </w:numPr>
      </w:pPr>
      <w:r>
        <w:t xml:space="preserve">Calcul de l’effort mensuel</w:t>
      </w:r>
    </w:p>
    <w:bookmarkEnd w:id="35"/>
    <w:bookmarkStart w:id="36" w:name="alertes-intelligentes"/>
    <w:p>
      <w:pPr>
        <w:pStyle w:val="Heading3"/>
      </w:pPr>
      <w:r>
        <w:t xml:space="preserve">6.7 Alertes intelligentes</w:t>
      </w:r>
    </w:p>
    <w:p>
      <w:pPr>
        <w:pStyle w:val="Compact"/>
        <w:numPr>
          <w:ilvl w:val="0"/>
          <w:numId w:val="1012"/>
        </w:numPr>
      </w:pPr>
      <w:r>
        <w:t xml:space="preserve">Dépenses inhabituelles</w:t>
      </w:r>
    </w:p>
    <w:p>
      <w:pPr>
        <w:pStyle w:val="Compact"/>
        <w:numPr>
          <w:ilvl w:val="0"/>
          <w:numId w:val="1012"/>
        </w:numPr>
      </w:pPr>
      <w:r>
        <w:t xml:space="preserve">Mois à risque</w:t>
      </w:r>
    </w:p>
    <w:p>
      <w:pPr>
        <w:pStyle w:val="Compact"/>
        <w:numPr>
          <w:ilvl w:val="0"/>
          <w:numId w:val="1012"/>
        </w:numPr>
      </w:pPr>
      <w:r>
        <w:t xml:space="preserve">Atteinte d’objectifs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valeur-ajoutée-différenciante"/>
    <w:p>
      <w:pPr>
        <w:pStyle w:val="Heading2"/>
      </w:pPr>
      <w:r>
        <w:t xml:space="preserve">7. Valeur ajoutée différenciante</w:t>
      </w:r>
    </w:p>
    <w:p>
      <w:pPr>
        <w:pStyle w:val="Compact"/>
        <w:numPr>
          <w:ilvl w:val="0"/>
          <w:numId w:val="1013"/>
        </w:numPr>
      </w:pPr>
      <w:r>
        <w:t xml:space="preserve">Vision globale et simplifiée</w:t>
      </w:r>
    </w:p>
    <w:p>
      <w:pPr>
        <w:pStyle w:val="Compact"/>
        <w:numPr>
          <w:ilvl w:val="0"/>
          <w:numId w:val="1013"/>
        </w:numPr>
      </w:pPr>
      <w:r>
        <w:t xml:space="preserve">Prévision financière accessible</w:t>
      </w:r>
    </w:p>
    <w:p>
      <w:pPr>
        <w:pStyle w:val="Compact"/>
        <w:numPr>
          <w:ilvl w:val="0"/>
          <w:numId w:val="1013"/>
        </w:numPr>
      </w:pPr>
      <w:r>
        <w:t xml:space="preserve">Aide à la décision (</w:t>
      </w:r>
      <w:r>
        <w:t xml:space="preserve">“Puis-je me permettre cette dépense ?”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Budgets adaptatifs</w:t>
      </w:r>
    </w:p>
    <w:p>
      <w:pPr>
        <w:pStyle w:val="Compact"/>
        <w:numPr>
          <w:ilvl w:val="0"/>
          <w:numId w:val="1013"/>
        </w:numPr>
      </w:pPr>
      <w:r>
        <w:t xml:space="preserve">Approche pédagogique et non culpabilisante</w:t>
      </w:r>
    </w:p>
    <w:p>
      <w:r>
        <w:pict>
          <v:rect style="width:0;height:1.5pt" o:hralign="center" o:hrstd="t" o:hr="t"/>
        </w:pict>
      </w:r>
    </w:p>
    <w:bookmarkEnd w:id="38"/>
    <w:bookmarkStart w:id="42" w:name="contraintes"/>
    <w:p>
      <w:pPr>
        <w:pStyle w:val="Heading2"/>
      </w:pPr>
      <w:r>
        <w:t xml:space="preserve">8. Contraintes</w:t>
      </w:r>
    </w:p>
    <w:bookmarkStart w:id="39" w:name="contraintes-fonctionnelles"/>
    <w:p>
      <w:pPr>
        <w:pStyle w:val="Heading3"/>
      </w:pPr>
      <w:r>
        <w:t xml:space="preserve">Contraintes fonctionnelles</w:t>
      </w:r>
    </w:p>
    <w:p>
      <w:pPr>
        <w:pStyle w:val="Compact"/>
        <w:numPr>
          <w:ilvl w:val="0"/>
          <w:numId w:val="1014"/>
        </w:numPr>
      </w:pPr>
      <w:r>
        <w:t xml:space="preserve">Simplicité d’utilisation</w:t>
      </w:r>
    </w:p>
    <w:p>
      <w:pPr>
        <w:pStyle w:val="Compact"/>
        <w:numPr>
          <w:ilvl w:val="0"/>
          <w:numId w:val="1014"/>
        </w:numPr>
      </w:pPr>
      <w:r>
        <w:t xml:space="preserve">Rapidité de saisie</w:t>
      </w:r>
    </w:p>
    <w:p>
      <w:pPr>
        <w:pStyle w:val="Compact"/>
        <w:numPr>
          <w:ilvl w:val="0"/>
          <w:numId w:val="1014"/>
        </w:numPr>
      </w:pPr>
      <w:r>
        <w:t xml:space="preserve">Clarté visuelle</w:t>
      </w:r>
    </w:p>
    <w:bookmarkEnd w:id="39"/>
    <w:bookmarkStart w:id="40" w:name="contraintes-techniques"/>
    <w:p>
      <w:pPr>
        <w:pStyle w:val="Heading3"/>
      </w:pPr>
      <w:r>
        <w:t xml:space="preserve">Contraintes techniques</w:t>
      </w:r>
    </w:p>
    <w:p>
      <w:pPr>
        <w:pStyle w:val="Compact"/>
        <w:numPr>
          <w:ilvl w:val="0"/>
          <w:numId w:val="1015"/>
        </w:numPr>
      </w:pPr>
      <w:r>
        <w:t xml:space="preserve">Sécurité des données</w:t>
      </w:r>
    </w:p>
    <w:p>
      <w:pPr>
        <w:pStyle w:val="Compact"/>
        <w:numPr>
          <w:ilvl w:val="0"/>
          <w:numId w:val="1015"/>
        </w:numPr>
      </w:pPr>
      <w:r>
        <w:t xml:space="preserve">Performance</w:t>
      </w:r>
    </w:p>
    <w:p>
      <w:pPr>
        <w:pStyle w:val="Compact"/>
        <w:numPr>
          <w:ilvl w:val="0"/>
          <w:numId w:val="1015"/>
        </w:numPr>
      </w:pPr>
      <w:r>
        <w:t xml:space="preserve">Scalabilité</w:t>
      </w:r>
    </w:p>
    <w:bookmarkEnd w:id="40"/>
    <w:bookmarkStart w:id="41" w:name="contraintes-réglementaires"/>
    <w:p>
      <w:pPr>
        <w:pStyle w:val="Heading3"/>
      </w:pPr>
      <w:r>
        <w:t xml:space="preserve">Contraintes réglementaires</w:t>
      </w:r>
    </w:p>
    <w:p>
      <w:pPr>
        <w:pStyle w:val="Compact"/>
        <w:numPr>
          <w:ilvl w:val="0"/>
          <w:numId w:val="1016"/>
        </w:numPr>
      </w:pPr>
      <w:r>
        <w:t xml:space="preserve">Protection des données personnelles</w:t>
      </w:r>
    </w:p>
    <w:p>
      <w:pPr>
        <w:pStyle w:val="Compact"/>
        <w:numPr>
          <w:ilvl w:val="0"/>
          <w:numId w:val="1016"/>
        </w:numPr>
      </w:pPr>
      <w:r>
        <w:t xml:space="preserve">Respect de la vie privée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indicateurs-de-succès-kpis"/>
    <w:p>
      <w:pPr>
        <w:pStyle w:val="Heading2"/>
      </w:pPr>
      <w:r>
        <w:t xml:space="preserve">9. Indicateurs de succès (KPIs)</w:t>
      </w:r>
    </w:p>
    <w:p>
      <w:pPr>
        <w:pStyle w:val="Compact"/>
        <w:numPr>
          <w:ilvl w:val="0"/>
          <w:numId w:val="1017"/>
        </w:numPr>
      </w:pPr>
      <w:r>
        <w:t xml:space="preserve">Taux d’utilisateurs actifs mensuels</w:t>
      </w:r>
    </w:p>
    <w:p>
      <w:pPr>
        <w:pStyle w:val="Compact"/>
        <w:numPr>
          <w:ilvl w:val="0"/>
          <w:numId w:val="1017"/>
        </w:numPr>
      </w:pPr>
      <w:r>
        <w:t xml:space="preserve">Taux de rétention</w:t>
      </w:r>
    </w:p>
    <w:p>
      <w:pPr>
        <w:pStyle w:val="Compact"/>
        <w:numPr>
          <w:ilvl w:val="0"/>
          <w:numId w:val="1017"/>
        </w:numPr>
      </w:pPr>
      <w:r>
        <w:t xml:space="preserve">Nombre de budgets créés</w:t>
      </w:r>
    </w:p>
    <w:p>
      <w:pPr>
        <w:pStyle w:val="Compact"/>
        <w:numPr>
          <w:ilvl w:val="0"/>
          <w:numId w:val="1017"/>
        </w:numPr>
      </w:pPr>
      <w:r>
        <w:t xml:space="preserve">Nombre d’objectifs atteints</w:t>
      </w:r>
    </w:p>
    <w:p>
      <w:pPr>
        <w:pStyle w:val="Compact"/>
        <w:numPr>
          <w:ilvl w:val="0"/>
          <w:numId w:val="1017"/>
        </w:numPr>
      </w:pPr>
      <w:r>
        <w:t xml:space="preserve">Satisfaction utilisateur</w:t>
      </w:r>
    </w:p>
    <w:p>
      <w:r>
        <w:pict>
          <v:rect style="width:0;height:1.5pt" o:hralign="center" o:hrstd="t" o:hr="t"/>
        </w:pict>
      </w:r>
    </w:p>
    <w:bookmarkEnd w:id="43"/>
    <w:bookmarkStart w:id="46" w:name="hypothèses-et-risques"/>
    <w:p>
      <w:pPr>
        <w:pStyle w:val="Heading2"/>
      </w:pPr>
      <w:r>
        <w:t xml:space="preserve">10. Hypothèses et risques</w:t>
      </w:r>
    </w:p>
    <w:bookmarkStart w:id="44" w:name="hypothèses"/>
    <w:p>
      <w:pPr>
        <w:pStyle w:val="Heading3"/>
      </w:pPr>
      <w:r>
        <w:t xml:space="preserve">Hypothèses</w:t>
      </w:r>
    </w:p>
    <w:p>
      <w:pPr>
        <w:pStyle w:val="Compact"/>
        <w:numPr>
          <w:ilvl w:val="0"/>
          <w:numId w:val="1018"/>
        </w:numPr>
      </w:pPr>
      <w:r>
        <w:t xml:space="preserve">Les utilisateurs sont prêts à saisir leurs données</w:t>
      </w:r>
    </w:p>
    <w:p>
      <w:pPr>
        <w:pStyle w:val="Compact"/>
        <w:numPr>
          <w:ilvl w:val="0"/>
          <w:numId w:val="1018"/>
        </w:numPr>
      </w:pPr>
      <w:r>
        <w:t xml:space="preserve">La valeur perçue est suffisante pour une utilisation régulière</w:t>
      </w:r>
    </w:p>
    <w:bookmarkEnd w:id="44"/>
    <w:bookmarkStart w:id="45" w:name="risques"/>
    <w:p>
      <w:pPr>
        <w:pStyle w:val="Heading3"/>
      </w:pPr>
      <w:r>
        <w:t xml:space="preserve">Risques</w:t>
      </w:r>
    </w:p>
    <w:p>
      <w:pPr>
        <w:pStyle w:val="Compact"/>
        <w:numPr>
          <w:ilvl w:val="0"/>
          <w:numId w:val="1019"/>
        </w:numPr>
      </w:pPr>
      <w:r>
        <w:t xml:space="preserve">Abandon par manque de simplicité</w:t>
      </w:r>
    </w:p>
    <w:p>
      <w:pPr>
        <w:pStyle w:val="Compact"/>
        <w:numPr>
          <w:ilvl w:val="0"/>
          <w:numId w:val="1019"/>
        </w:numPr>
      </w:pPr>
      <w:r>
        <w:t xml:space="preserve">Saisie manuelle trop contraignante</w:t>
      </w:r>
    </w:p>
    <w:p>
      <w:pPr>
        <w:pStyle w:val="Compact"/>
        <w:numPr>
          <w:ilvl w:val="0"/>
          <w:numId w:val="1019"/>
        </w:numPr>
      </w:pPr>
      <w:r>
        <w:t xml:space="preserve">Manque de différenciation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vision-long-terme"/>
    <w:p>
      <w:pPr>
        <w:pStyle w:val="Heading2"/>
      </w:pPr>
      <w:r>
        <w:t xml:space="preserve">11. Vision long terme</w:t>
      </w:r>
    </w:p>
    <w:p>
      <w:pPr>
        <w:pStyle w:val="Compact"/>
        <w:numPr>
          <w:ilvl w:val="0"/>
          <w:numId w:val="1020"/>
        </w:numPr>
      </w:pPr>
      <w:r>
        <w:t xml:space="preserve">Synchronisation bancaire</w:t>
      </w:r>
    </w:p>
    <w:p>
      <w:pPr>
        <w:pStyle w:val="Compact"/>
        <w:numPr>
          <w:ilvl w:val="0"/>
          <w:numId w:val="1020"/>
        </w:numPr>
      </w:pPr>
      <w:r>
        <w:t xml:space="preserve">Intelligence artificielle</w:t>
      </w:r>
    </w:p>
    <w:p>
      <w:pPr>
        <w:pStyle w:val="Compact"/>
        <w:numPr>
          <w:ilvl w:val="0"/>
          <w:numId w:val="1020"/>
        </w:numPr>
      </w:pPr>
      <w:r>
        <w:t xml:space="preserve">Score de santé financière</w:t>
      </w:r>
    </w:p>
    <w:p>
      <w:pPr>
        <w:pStyle w:val="Compact"/>
        <w:numPr>
          <w:ilvl w:val="0"/>
          <w:numId w:val="1020"/>
        </w:numPr>
      </w:pPr>
      <w:r>
        <w:t xml:space="preserve">Recommandations personnalisées</w:t>
      </w:r>
    </w:p>
    <w:p>
      <w:r>
        <w:pict>
          <v:rect style="width:0;height:1.5pt" o:hralign="center" o:hrstd="t" o:hr="t"/>
        </w:pict>
      </w:r>
    </w:p>
    <w:bookmarkEnd w:id="47"/>
    <w:bookmarkStart w:id="48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Ce projet vise à créer non pas une simple application de budget, mais un</w:t>
      </w:r>
      <w:r>
        <w:t xml:space="preserve"> </w:t>
      </w:r>
      <w:r>
        <w:rPr>
          <w:b/>
          <w:bCs/>
        </w:rPr>
        <w:t xml:space="preserve">assistant financier personnel</w:t>
      </w:r>
      <w:r>
        <w:t xml:space="preserve">, capable d’accompagner l’utilisateur dans ses décisions quotidiennes et ses projets de vie.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2026-02-07T10:11:24Z</dcterms:created>
  <dcterms:modified xsi:type="dcterms:W3CDTF">2026-02-07T10:11:24Z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