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864598aaed4fd16941dbe075764b1942606630a"/>
    <w:p>
      <w:pPr>
        <w:pStyle w:val="Heading1"/>
      </w:pPr>
      <w:r>
        <w:t xml:space="preserve">📘 Spécifications Fonctionnelles Générales (SFG)</w:t>
      </w:r>
    </w:p>
    <w:bookmarkStart w:id="20" w:name="X225a5594f2ade548cbcd353d54e9745f5c537d4"/>
    <w:p>
      <w:pPr>
        <w:pStyle w:val="Heading2"/>
      </w:pPr>
      <w:r>
        <w:t xml:space="preserve">Application de gestion des flux financiers</w:t>
      </w:r>
    </w:p>
    <w:p>
      <w:r>
        <w:pict>
          <v:rect style="width:0;height:1.5pt" o:hralign="center" o:hrstd="t" o:hr="t"/>
        </w:pict>
      </w:r>
    </w:p>
    <w:bookmarkEnd w:id="20"/>
    <w:bookmarkStart w:id="21" w:name="objectif-du-document"/>
    <w:p>
      <w:pPr>
        <w:pStyle w:val="Heading2"/>
      </w:pPr>
      <w:r>
        <w:t xml:space="preserve">1. Objectif du document</w:t>
      </w:r>
    </w:p>
    <w:p>
      <w:pPr>
        <w:pStyle w:val="FirstParagraph"/>
      </w:pPr>
      <w:r>
        <w:t xml:space="preserve">Le présent document a pour objectif de décrire</w:t>
      </w:r>
      <w:r>
        <w:t xml:space="preserve"> </w:t>
      </w:r>
      <w:r>
        <w:rPr>
          <w:b/>
          <w:bCs/>
        </w:rPr>
        <w:t xml:space="preserve">les fonctionnalités globales</w:t>
      </w:r>
      <w:r>
        <w:t xml:space="preserve"> </w:t>
      </w:r>
      <w:r>
        <w:t xml:space="preserve">de l’application de gestion des flux financiers, sans entrer dans le détail technique ou écran par écran.</w:t>
      </w:r>
    </w:p>
    <w:p>
      <w:pPr>
        <w:pStyle w:val="BodyText"/>
      </w:pPr>
      <w:r>
        <w:t xml:space="preserve">Il constitue une référence fonctionnelle commune entre les parties prenantes (produit, métier, technique).</w:t>
      </w:r>
    </w:p>
    <w:p>
      <w:r>
        <w:pict>
          <v:rect style="width:0;height:1.5pt" o:hralign="center" o:hrstd="t" o:hr="t"/>
        </w:pict>
      </w:r>
    </w:p>
    <w:bookmarkEnd w:id="21"/>
    <w:bookmarkStart w:id="22" w:name="présentation-générale-de-lapplication"/>
    <w:p>
      <w:pPr>
        <w:pStyle w:val="Heading2"/>
      </w:pPr>
      <w:r>
        <w:t xml:space="preserve">2. Présentation générale de l’application</w:t>
      </w:r>
    </w:p>
    <w:p>
      <w:pPr>
        <w:pStyle w:val="FirstParagraph"/>
      </w:pPr>
      <w:r>
        <w:t xml:space="preserve">L’application permet aux utilisateurs de :</w:t>
      </w:r>
      <w:r>
        <w:t xml:space="preserve"> </w:t>
      </w:r>
      <w:r>
        <w:t xml:space="preserve">- suivre leurs flux financiers entrants et sortants,</w:t>
      </w:r>
      <w:r>
        <w:t xml:space="preserve"> </w:t>
      </w:r>
      <w:r>
        <w:t xml:space="preserve">- analyser leur situation financière,</w:t>
      </w:r>
      <w:r>
        <w:t xml:space="preserve"> </w:t>
      </w:r>
      <w:r>
        <w:t xml:space="preserve">- anticiper leurs dépenses futures,</w:t>
      </w:r>
      <w:r>
        <w:t xml:space="preserve"> </w:t>
      </w:r>
      <w:r>
        <w:t xml:space="preserve">- définir et atteindre des objectifs financiers.</w:t>
      </w:r>
    </w:p>
    <w:p>
      <w:r>
        <w:pict>
          <v:rect style="width:0;height:1.5pt" o:hralign="center" o:hrstd="t" o:hr="t"/>
        </w:pict>
      </w:r>
    </w:p>
    <w:bookmarkEnd w:id="22"/>
    <w:bookmarkStart w:id="23" w:name="acteurs"/>
    <w:p>
      <w:pPr>
        <w:pStyle w:val="Heading2"/>
      </w:pPr>
      <w:r>
        <w:t xml:space="preserve">3. Acteurs</w:t>
      </w:r>
    </w:p>
    <w:p>
      <w:pPr>
        <w:pStyle w:val="Compact"/>
        <w:numPr>
          <w:ilvl w:val="0"/>
          <w:numId w:val="1001"/>
        </w:numPr>
      </w:pPr>
      <w:r>
        <w:t xml:space="preserve">Utilisateur standard</w:t>
      </w:r>
    </w:p>
    <w:p>
      <w:pPr>
        <w:pStyle w:val="Compact"/>
        <w:numPr>
          <w:ilvl w:val="0"/>
          <w:numId w:val="1001"/>
        </w:numPr>
      </w:pPr>
      <w:r>
        <w:t xml:space="preserve">Administrateur (gestion et supervision)</w:t>
      </w:r>
    </w:p>
    <w:p>
      <w:r>
        <w:pict>
          <v:rect style="width:0;height:1.5pt" o:hralign="center" o:hrstd="t" o:hr="t"/>
        </w:pict>
      </w:r>
    </w:p>
    <w:bookmarkEnd w:id="23"/>
    <w:bookmarkStart w:id="39" w:name="fonctionnalités-principales"/>
    <w:p>
      <w:pPr>
        <w:pStyle w:val="Heading2"/>
      </w:pPr>
      <w:r>
        <w:t xml:space="preserve">4. Fonctionnalités principales</w:t>
      </w:r>
    </w:p>
    <w:bookmarkStart w:id="24" w:name="gestion-des-utilisateurs"/>
    <w:p>
      <w:pPr>
        <w:pStyle w:val="Heading3"/>
      </w:pPr>
      <w:r>
        <w:t xml:space="preserve">4.1 Gestion des utilisateurs</w:t>
      </w:r>
    </w:p>
    <w:p>
      <w:pPr>
        <w:pStyle w:val="Compact"/>
        <w:numPr>
          <w:ilvl w:val="0"/>
          <w:numId w:val="1002"/>
        </w:numPr>
      </w:pPr>
      <w:r>
        <w:t xml:space="preserve">Création de compte</w:t>
      </w:r>
    </w:p>
    <w:p>
      <w:pPr>
        <w:pStyle w:val="Compact"/>
        <w:numPr>
          <w:ilvl w:val="0"/>
          <w:numId w:val="1002"/>
        </w:numPr>
      </w:pPr>
      <w:r>
        <w:t xml:space="preserve">Authentification</w:t>
      </w:r>
    </w:p>
    <w:p>
      <w:pPr>
        <w:pStyle w:val="Compact"/>
        <w:numPr>
          <w:ilvl w:val="0"/>
          <w:numId w:val="1002"/>
        </w:numPr>
      </w:pPr>
      <w:r>
        <w:t xml:space="preserve">Gestion du profil utilisateur</w:t>
      </w:r>
    </w:p>
    <w:p>
      <w:pPr>
        <w:pStyle w:val="Compact"/>
        <w:numPr>
          <w:ilvl w:val="0"/>
          <w:numId w:val="1002"/>
        </w:numPr>
      </w:pPr>
      <w:r>
        <w:t xml:space="preserve">Paramètres personnels (devise, langue, préférences)</w:t>
      </w:r>
    </w:p>
    <w:p>
      <w:r>
        <w:pict>
          <v:rect style="width:0;height:1.5pt" o:hralign="center" o:hrstd="t" o:hr="t"/>
        </w:pict>
      </w:r>
    </w:p>
    <w:bookmarkEnd w:id="24"/>
    <w:bookmarkStart w:id="27" w:name="gestion-des-flux-entrants"/>
    <w:p>
      <w:pPr>
        <w:pStyle w:val="Heading3"/>
      </w:pPr>
      <w:r>
        <w:t xml:space="preserve">4.2 Gestion des flux entrants</w:t>
      </w:r>
    </w:p>
    <w:bookmarkStart w:id="25" w:name="description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Permettre à l’utilisateur d’enregistrer et suivre ses sources de revenus.</w:t>
      </w:r>
    </w:p>
    <w:bookmarkEnd w:id="25"/>
    <w:bookmarkStart w:id="26" w:name="fonctionnalités"/>
    <w:p>
      <w:pPr>
        <w:pStyle w:val="Heading4"/>
      </w:pPr>
      <w:r>
        <w:t xml:space="preserve">Fonctionnalités</w:t>
      </w:r>
    </w:p>
    <w:p>
      <w:pPr>
        <w:pStyle w:val="Compact"/>
        <w:numPr>
          <w:ilvl w:val="0"/>
          <w:numId w:val="1003"/>
        </w:numPr>
      </w:pPr>
      <w:r>
        <w:t xml:space="preserve">Ajouter un revenu</w:t>
      </w:r>
    </w:p>
    <w:p>
      <w:pPr>
        <w:pStyle w:val="Compact"/>
        <w:numPr>
          <w:ilvl w:val="0"/>
          <w:numId w:val="1003"/>
        </w:numPr>
      </w:pPr>
      <w:r>
        <w:t xml:space="preserve">Modifier un revenu</w:t>
      </w:r>
    </w:p>
    <w:p>
      <w:pPr>
        <w:pStyle w:val="Compact"/>
        <w:numPr>
          <w:ilvl w:val="0"/>
          <w:numId w:val="1003"/>
        </w:numPr>
      </w:pPr>
      <w:r>
        <w:t xml:space="preserve">Supprimer un revenu</w:t>
      </w:r>
    </w:p>
    <w:p>
      <w:pPr>
        <w:pStyle w:val="Compact"/>
        <w:numPr>
          <w:ilvl w:val="0"/>
          <w:numId w:val="1003"/>
        </w:numPr>
      </w:pPr>
      <w:r>
        <w:t xml:space="preserve">Définir la fréquence (ponctuel, mensuel, annuel)</w:t>
      </w:r>
    </w:p>
    <w:p>
      <w:pPr>
        <w:pStyle w:val="Compact"/>
        <w:numPr>
          <w:ilvl w:val="0"/>
          <w:numId w:val="1003"/>
        </w:numPr>
      </w:pPr>
      <w:r>
        <w:t xml:space="preserve">Classer par catégorie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gestion-des-flux-sortants"/>
    <w:p>
      <w:pPr>
        <w:pStyle w:val="Heading3"/>
      </w:pPr>
      <w:r>
        <w:t xml:space="preserve">4.3 Gestion des flux sortants</w:t>
      </w:r>
    </w:p>
    <w:bookmarkStart w:id="28" w:name="description-1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Permettre à l’utilisateur d’enregistrer et analyser ses dépenses.</w:t>
      </w:r>
    </w:p>
    <w:bookmarkEnd w:id="28"/>
    <w:bookmarkStart w:id="29" w:name="fonctionnalités-1"/>
    <w:p>
      <w:pPr>
        <w:pStyle w:val="Heading4"/>
      </w:pPr>
      <w:r>
        <w:t xml:space="preserve">Fonctionnalités</w:t>
      </w:r>
    </w:p>
    <w:p>
      <w:pPr>
        <w:pStyle w:val="Compact"/>
        <w:numPr>
          <w:ilvl w:val="0"/>
          <w:numId w:val="1004"/>
        </w:numPr>
      </w:pPr>
      <w:r>
        <w:t xml:space="preserve">Ajouter une dépense</w:t>
      </w:r>
    </w:p>
    <w:p>
      <w:pPr>
        <w:pStyle w:val="Compact"/>
        <w:numPr>
          <w:ilvl w:val="0"/>
          <w:numId w:val="1004"/>
        </w:numPr>
      </w:pPr>
      <w:r>
        <w:t xml:space="preserve">Modifier une dépense</w:t>
      </w:r>
    </w:p>
    <w:p>
      <w:pPr>
        <w:pStyle w:val="Compact"/>
        <w:numPr>
          <w:ilvl w:val="0"/>
          <w:numId w:val="1004"/>
        </w:numPr>
      </w:pPr>
      <w:r>
        <w:t xml:space="preserve">Supprimer une dépense</w:t>
      </w:r>
    </w:p>
    <w:p>
      <w:pPr>
        <w:pStyle w:val="Compact"/>
        <w:numPr>
          <w:ilvl w:val="0"/>
          <w:numId w:val="1004"/>
        </w:numPr>
      </w:pPr>
      <w:r>
        <w:t xml:space="preserve">Marquer une dépense comme récurrente</w:t>
      </w:r>
    </w:p>
    <w:p>
      <w:pPr>
        <w:pStyle w:val="Compact"/>
        <w:numPr>
          <w:ilvl w:val="0"/>
          <w:numId w:val="1004"/>
        </w:numPr>
      </w:pPr>
      <w:r>
        <w:t xml:space="preserve">Associer une dépense à une catégorie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gestion-des-catégories"/>
    <w:p>
      <w:pPr>
        <w:pStyle w:val="Heading3"/>
      </w:pPr>
      <w:r>
        <w:t xml:space="preserve">4.4 Gestion des catégories</w:t>
      </w:r>
    </w:p>
    <w:p>
      <w:pPr>
        <w:pStyle w:val="Compact"/>
        <w:numPr>
          <w:ilvl w:val="0"/>
          <w:numId w:val="1005"/>
        </w:numPr>
      </w:pPr>
      <w:r>
        <w:t xml:space="preserve">Création de catégories personnalisées</w:t>
      </w:r>
    </w:p>
    <w:p>
      <w:pPr>
        <w:pStyle w:val="Compact"/>
        <w:numPr>
          <w:ilvl w:val="0"/>
          <w:numId w:val="1005"/>
        </w:numPr>
      </w:pPr>
      <w:r>
        <w:t xml:space="preserve">Catégories par défaut</w:t>
      </w:r>
    </w:p>
    <w:p>
      <w:pPr>
        <w:pStyle w:val="Compact"/>
        <w:numPr>
          <w:ilvl w:val="0"/>
          <w:numId w:val="1005"/>
        </w:numPr>
      </w:pPr>
      <w:r>
        <w:t xml:space="preserve">Association automatique des dépenses</w:t>
      </w:r>
    </w:p>
    <w:p>
      <w:r>
        <w:pict>
          <v:rect style="width:0;height:1.5pt" o:hralign="center" o:hrstd="t" o:hr="t"/>
        </w:pict>
      </w:r>
    </w:p>
    <w:bookmarkEnd w:id="31"/>
    <w:bookmarkStart w:id="34" w:name="budgets"/>
    <w:p>
      <w:pPr>
        <w:pStyle w:val="Heading3"/>
      </w:pPr>
      <w:r>
        <w:t xml:space="preserve">4.5 Budgets</w:t>
      </w:r>
    </w:p>
    <w:bookmarkStart w:id="32" w:name="description-2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Permettre à l’utilisateur de fixer des limites budgétaires.</w:t>
      </w:r>
    </w:p>
    <w:bookmarkEnd w:id="32"/>
    <w:bookmarkStart w:id="33" w:name="fonctionnalités-2"/>
    <w:p>
      <w:pPr>
        <w:pStyle w:val="Heading4"/>
      </w:pPr>
      <w:r>
        <w:t xml:space="preserve">Fonctionnalités</w:t>
      </w:r>
    </w:p>
    <w:p>
      <w:pPr>
        <w:pStyle w:val="Compact"/>
        <w:numPr>
          <w:ilvl w:val="0"/>
          <w:numId w:val="1006"/>
        </w:numPr>
      </w:pPr>
      <w:r>
        <w:t xml:space="preserve">Définir un budget par catégorie</w:t>
      </w:r>
    </w:p>
    <w:p>
      <w:pPr>
        <w:pStyle w:val="Compact"/>
        <w:numPr>
          <w:ilvl w:val="0"/>
          <w:numId w:val="1006"/>
        </w:numPr>
      </w:pPr>
      <w:r>
        <w:t xml:space="preserve">Définir un budget global mensuel</w:t>
      </w:r>
    </w:p>
    <w:p>
      <w:pPr>
        <w:pStyle w:val="Compact"/>
        <w:numPr>
          <w:ilvl w:val="0"/>
          <w:numId w:val="1006"/>
        </w:numPr>
      </w:pPr>
      <w:r>
        <w:t xml:space="preserve">Suivre l’état du budget</w:t>
      </w:r>
    </w:p>
    <w:p>
      <w:pPr>
        <w:pStyle w:val="Compact"/>
        <w:numPr>
          <w:ilvl w:val="0"/>
          <w:numId w:val="1006"/>
        </w:numPr>
      </w:pPr>
      <w:r>
        <w:t xml:space="preserve">Alerte en cas de dépassement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ableau-de-bord"/>
    <w:p>
      <w:pPr>
        <w:pStyle w:val="Heading3"/>
      </w:pPr>
      <w:r>
        <w:t xml:space="preserve">4.6 Tableau de bord</w:t>
      </w:r>
    </w:p>
    <w:p>
      <w:pPr>
        <w:pStyle w:val="Compact"/>
        <w:numPr>
          <w:ilvl w:val="0"/>
          <w:numId w:val="1007"/>
        </w:numPr>
      </w:pPr>
      <w:r>
        <w:t xml:space="preserve">Vue globale de la situation financière</w:t>
      </w:r>
    </w:p>
    <w:p>
      <w:pPr>
        <w:pStyle w:val="Compact"/>
        <w:numPr>
          <w:ilvl w:val="0"/>
          <w:numId w:val="1007"/>
        </w:numPr>
      </w:pPr>
      <w:r>
        <w:t xml:space="preserve">Indicateurs clés (cash-flow, solde, dépenses)</w:t>
      </w:r>
    </w:p>
    <w:p>
      <w:pPr>
        <w:pStyle w:val="Compact"/>
        <w:numPr>
          <w:ilvl w:val="0"/>
          <w:numId w:val="1007"/>
        </w:numPr>
      </w:pPr>
      <w:r>
        <w:t xml:space="preserve">Graphiques d’évolution</w:t>
      </w:r>
    </w:p>
    <w:p>
      <w:r>
        <w:pict>
          <v:rect style="width:0;height:1.5pt" o:hralign="center" o:hrstd="t" o:hr="t"/>
        </w:pict>
      </w:r>
    </w:p>
    <w:bookmarkEnd w:id="35"/>
    <w:bookmarkStart w:id="36" w:name="prévisions-financières"/>
    <w:p>
      <w:pPr>
        <w:pStyle w:val="Heading3"/>
      </w:pPr>
      <w:r>
        <w:t xml:space="preserve">4.7 Prévisions financières</w:t>
      </w:r>
    </w:p>
    <w:p>
      <w:pPr>
        <w:pStyle w:val="Compact"/>
        <w:numPr>
          <w:ilvl w:val="0"/>
          <w:numId w:val="1008"/>
        </w:numPr>
      </w:pPr>
      <w:r>
        <w:t xml:space="preserve">Projection mensuelle</w:t>
      </w:r>
    </w:p>
    <w:p>
      <w:pPr>
        <w:pStyle w:val="Compact"/>
        <w:numPr>
          <w:ilvl w:val="0"/>
          <w:numId w:val="1008"/>
        </w:numPr>
      </w:pPr>
      <w:r>
        <w:t xml:space="preserve">Simulation de scénarios financiers</w:t>
      </w:r>
    </w:p>
    <w:p>
      <w:pPr>
        <w:pStyle w:val="Compact"/>
        <w:numPr>
          <w:ilvl w:val="0"/>
          <w:numId w:val="1008"/>
        </w:numPr>
      </w:pPr>
      <w:r>
        <w:t xml:space="preserve">Impact des nouvelles dépenses</w:t>
      </w:r>
    </w:p>
    <w:p>
      <w:r>
        <w:pict>
          <v:rect style="width:0;height:1.5pt" o:hralign="center" o:hrstd="t" o:hr="t"/>
        </w:pict>
      </w:r>
    </w:p>
    <w:bookmarkEnd w:id="36"/>
    <w:bookmarkStart w:id="37" w:name="objectifs-financiers"/>
    <w:p>
      <w:pPr>
        <w:pStyle w:val="Heading3"/>
      </w:pPr>
      <w:r>
        <w:t xml:space="preserve">4.8 Objectifs financiers</w:t>
      </w:r>
    </w:p>
    <w:p>
      <w:pPr>
        <w:pStyle w:val="Compact"/>
        <w:numPr>
          <w:ilvl w:val="0"/>
          <w:numId w:val="1009"/>
        </w:numPr>
      </w:pPr>
      <w:r>
        <w:t xml:space="preserve">Création d’objectifs</w:t>
      </w:r>
    </w:p>
    <w:p>
      <w:pPr>
        <w:pStyle w:val="Compact"/>
        <w:numPr>
          <w:ilvl w:val="0"/>
          <w:numId w:val="1009"/>
        </w:numPr>
      </w:pPr>
      <w:r>
        <w:t xml:space="preserve">Suivi de progression</w:t>
      </w:r>
    </w:p>
    <w:p>
      <w:pPr>
        <w:pStyle w:val="Compact"/>
        <w:numPr>
          <w:ilvl w:val="0"/>
          <w:numId w:val="1009"/>
        </w:numPr>
      </w:pPr>
      <w:r>
        <w:t xml:space="preserve">Calcul automatique de l’effort requis</w:t>
      </w:r>
    </w:p>
    <w:p>
      <w:r>
        <w:pict>
          <v:rect style="width:0;height:1.5pt" o:hralign="center" o:hrstd="t" o:hr="t"/>
        </w:pict>
      </w:r>
    </w:p>
    <w:bookmarkEnd w:id="37"/>
    <w:bookmarkStart w:id="38" w:name="notifications-et-alertes"/>
    <w:p>
      <w:pPr>
        <w:pStyle w:val="Heading3"/>
      </w:pPr>
      <w:r>
        <w:t xml:space="preserve">4.9 Notifications et alertes</w:t>
      </w:r>
    </w:p>
    <w:p>
      <w:pPr>
        <w:pStyle w:val="Compact"/>
        <w:numPr>
          <w:ilvl w:val="0"/>
          <w:numId w:val="1010"/>
        </w:numPr>
      </w:pPr>
      <w:r>
        <w:t xml:space="preserve">Alertes de dépassement de budget</w:t>
      </w:r>
    </w:p>
    <w:p>
      <w:pPr>
        <w:pStyle w:val="Compact"/>
        <w:numPr>
          <w:ilvl w:val="0"/>
          <w:numId w:val="1010"/>
        </w:numPr>
      </w:pPr>
      <w:r>
        <w:t xml:space="preserve">Notifications de dépenses inhabituelles</w:t>
      </w:r>
    </w:p>
    <w:p>
      <w:pPr>
        <w:pStyle w:val="Compact"/>
        <w:numPr>
          <w:ilvl w:val="0"/>
          <w:numId w:val="1010"/>
        </w:numPr>
      </w:pPr>
      <w:r>
        <w:t xml:space="preserve">Rappels financiers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traintes-fonctionnelles"/>
    <w:p>
      <w:pPr>
        <w:pStyle w:val="Heading2"/>
      </w:pPr>
      <w:r>
        <w:t xml:space="preserve">5. Contraintes fonctionnelles</w:t>
      </w:r>
    </w:p>
    <w:p>
      <w:pPr>
        <w:pStyle w:val="Compact"/>
        <w:numPr>
          <w:ilvl w:val="0"/>
          <w:numId w:val="1011"/>
        </w:numPr>
      </w:pPr>
      <w:r>
        <w:t xml:space="preserve">Simplicité d’utilisation</w:t>
      </w:r>
    </w:p>
    <w:p>
      <w:pPr>
        <w:pStyle w:val="Compact"/>
        <w:numPr>
          <w:ilvl w:val="0"/>
          <w:numId w:val="1011"/>
        </w:numPr>
      </w:pPr>
      <w:r>
        <w:t xml:space="preserve">Rapidité de saisie</w:t>
      </w:r>
    </w:p>
    <w:p>
      <w:pPr>
        <w:pStyle w:val="Compact"/>
        <w:numPr>
          <w:ilvl w:val="0"/>
          <w:numId w:val="1011"/>
        </w:numPr>
      </w:pPr>
      <w:r>
        <w:t xml:space="preserve">Clarté des informations</w:t>
      </w:r>
    </w:p>
    <w:p>
      <w:r>
        <w:pict>
          <v:rect style="width:0;height:1.5pt" o:hralign="center" o:hrstd="t" o:hr="t"/>
        </w:pict>
      </w:r>
    </w:p>
    <w:bookmarkEnd w:id="40"/>
    <w:bookmarkStart w:id="41" w:name="hors-périmètre"/>
    <w:p>
      <w:pPr>
        <w:pStyle w:val="Heading2"/>
      </w:pPr>
      <w:r>
        <w:t xml:space="preserve">6. Hors périmètre</w:t>
      </w:r>
    </w:p>
    <w:p>
      <w:pPr>
        <w:pStyle w:val="Compact"/>
        <w:numPr>
          <w:ilvl w:val="0"/>
          <w:numId w:val="1012"/>
        </w:numPr>
      </w:pPr>
      <w:r>
        <w:t xml:space="preserve">Transactions bancaires automatiques (V1)</w:t>
      </w:r>
    </w:p>
    <w:p>
      <w:pPr>
        <w:pStyle w:val="Compact"/>
        <w:numPr>
          <w:ilvl w:val="0"/>
          <w:numId w:val="1012"/>
        </w:numPr>
      </w:pPr>
      <w:r>
        <w:t xml:space="preserve">Conseil financier réglementé</w:t>
      </w:r>
    </w:p>
    <w:p>
      <w:r>
        <w:pict>
          <v:rect style="width:0;height:1.5pt" o:hralign="center" o:hrstd="t" o:hr="t"/>
        </w:pict>
      </w:r>
    </w:p>
    <w:bookmarkEnd w:id="41"/>
    <w:bookmarkStart w:id="42" w:name="évolutions-prévues"/>
    <w:p>
      <w:pPr>
        <w:pStyle w:val="Heading2"/>
      </w:pPr>
      <w:r>
        <w:t xml:space="preserve">7. Évolutions prévues</w:t>
      </w:r>
    </w:p>
    <w:p>
      <w:pPr>
        <w:pStyle w:val="Compact"/>
        <w:numPr>
          <w:ilvl w:val="0"/>
          <w:numId w:val="1013"/>
        </w:numPr>
      </w:pPr>
      <w:r>
        <w:t xml:space="preserve">Synchronisation bancaire</w:t>
      </w:r>
    </w:p>
    <w:p>
      <w:pPr>
        <w:pStyle w:val="Compact"/>
        <w:numPr>
          <w:ilvl w:val="0"/>
          <w:numId w:val="1013"/>
        </w:numPr>
      </w:pPr>
      <w:r>
        <w:t xml:space="preserve">Intelligence artificielle</w:t>
      </w:r>
    </w:p>
    <w:p>
      <w:pPr>
        <w:pStyle w:val="Compact"/>
        <w:numPr>
          <w:ilvl w:val="0"/>
          <w:numId w:val="1013"/>
        </w:numPr>
      </w:pPr>
      <w:r>
        <w:t xml:space="preserve">Recommandations personnalisées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2026-02-07T10:27:41Z</dcterms:created>
  <dcterms:modified xsi:type="dcterms:W3CDTF">2026-02-07T10:27:41Z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