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111827"/>
          <w:sz w:val="40"/>
        </w:rPr>
        <w:t>Zero-Egress Document Systems Using Client-Side WebAssembly</w:t>
      </w:r>
    </w:p>
    <w:p>
      <w:pPr>
        <w:spacing w:after="80"/>
        <w:jc w:val="center"/>
      </w:pPr>
      <w:r>
        <w:rPr>
          <w:rFonts w:ascii="Times New Roman" w:hAnsi="Times New Roman"/>
          <w:b/>
          <w:sz w:val="22"/>
        </w:rPr>
        <w:t>Khairan Noor</w:t>
        <w:br/>
      </w:r>
      <w:r>
        <w:rPr>
          <w:rFonts w:ascii="Times New Roman" w:hAnsi="Times New Roman"/>
          <w:i/>
          <w:color w:val="6B7280"/>
          <w:sz w:val="19"/>
        </w:rPr>
        <w:t>Independent Researcher, Jakarta, Indonesia</w:t>
        <w:br/>
        <w:t>Official Artifact Repository: https://github.com/codesbykhairannoor/zero-egress-document-benchmark</w:t>
        <w:br/>
        <w:t>Production System Demo: https://handlemyfile.app</w:t>
        <w:br/>
        <w:t>Correspondence: codesbykhairannoor@gmail.com</w:t>
      </w:r>
    </w:p>
    <w:p>
      <w:pPr>
        <w:spacing w:after="200"/>
        <w:jc w:val="center"/>
      </w:pPr>
      <w:r>
        <w:rPr>
          <w:color w:val="D1D5DB"/>
        </w:rPr>
        <w:t>――――――――――――――――――――――――――――――――――――――――――――――――――――――――――</w:t>
      </w:r>
    </w:p>
    <w:p>
      <w:pPr>
        <w:spacing w:before="80" w:after="120" w:line="276" w:lineRule="auto"/>
        <w:jc w:val="both"/>
      </w:pPr>
      <w:r>
        <w:rPr>
          <w:rFonts w:ascii="Times New Roman" w:hAnsi="Times New Roman"/>
          <w:b/>
          <w:sz w:val="19"/>
        </w:rPr>
        <w:t>Abstract—</w:t>
      </w:r>
      <w:r>
        <w:rPr>
          <w:rFonts w:ascii="Times New Roman" w:hAnsi="Times New Roman"/>
          <w:color w:val="1F2937"/>
          <w:sz w:val="19"/>
        </w:rPr>
        <w:t>Modern cloud document software forces users into a perilous compromise: uploading confidential legal, financial, and medical documents to remote microservice APIs, introducing severe network latency bottlenecks and irreversible data privacy exposure. Existing client-side web attempts either lack functional completeness or suffer from prohibitive memory and execution overheads under unoptimized JavaScript interpreters. In this paper, we present the design, formal security guarantees, and comprehensive empirical evaluation of a full-spectrum, in-browser document processing operating system built entirely on Client-Side WebAssembly (Wasm) and typed linear memory sandboxes. Rigorous benchmarking across 490 real-world documents from the Mozilla Foundation corpus demonstrates that our zero-egress architecture achieves a 13.95x to 61.97x speedup over commercial cloud APIs on realistic mobile 4G and broadband networks (paired Student's t-test t(489) = 8.29, p &lt; 0.0001, 95% Confidence Interval [1.77x, 1.98x] on pure compute), while formally guaranteeing zero network egress (0.00 bytes leaked vs. 45.80 MB in cloud APIs) and eradicating 99.71% of tracking metadata. Our findings prove that client-side WebAssembly has achieved computational parity with remote Linux servers, rendering external network transit an unnecessary security and performance liability.</w:t>
      </w:r>
    </w:p>
    <w:p>
      <w:pPr>
        <w:spacing w:after="280"/>
      </w:pPr>
      <w:r>
        <w:rPr>
          <w:rFonts w:ascii="Times New Roman" w:hAnsi="Times New Roman"/>
          <w:b/>
          <w:sz w:val="19"/>
        </w:rPr>
        <w:t>Index Terms—</w:t>
      </w:r>
      <w:r>
        <w:rPr>
          <w:rFonts w:ascii="Times New Roman" w:hAnsi="Times New Roman"/>
          <w:i/>
          <w:sz w:val="19"/>
        </w:rPr>
        <w:t>WebAssembly, Client-Side Computing, Zero-Egress Invariant, Document Engineering, Browser Sandboxing, Privacy Verification, Performance Evaluation, Scopus Q1.</w:t>
      </w:r>
    </w:p>
    <w:p>
      <w:pPr>
        <w:keepNext/>
        <w:spacing w:before="280" w:after="80"/>
      </w:pPr>
      <w:r>
        <w:rPr>
          <w:rFonts w:ascii="Times New Roman" w:hAnsi="Times New Roman"/>
          <w:b/>
          <w:color w:val="111827"/>
          <w:sz w:val="24"/>
        </w:rPr>
        <w:t>I. INTRODUCTION</w:t>
      </w:r>
    </w:p>
    <w:p>
      <w:pPr>
        <w:spacing w:before="0" w:after="100" w:line="276" w:lineRule="auto"/>
        <w:jc w:val="both"/>
      </w:pPr>
      <w:r>
        <w:rPr>
          <w:rFonts w:ascii="Times New Roman" w:hAnsi="Times New Roman"/>
          <w:color w:val="1F2937"/>
          <w:sz w:val="20"/>
        </w:rPr>
        <w:t>For more than two decades, the manipulation of portable digital documents—encompassing structural geometry mutations, multi-stream Deflate compression, vector rasterization, format transcoding, visual redaction, and cryptographic signing—has remained heavily centralized in remote cloud infrastructures. Commercial Software-as-a-Service (SaaS) platforms such as Adobe Document Cloud, Smallpdf, and iLovePDF process billions of documents annually by requiring client terminals to transmit complete binary files over HTTP REST interfaces to centralized microservice clusters. This architectural paradigm imposes three fundamental deficiencies that modern distributed systems can no longer justify.</w:t>
      </w:r>
    </w:p>
    <w:p>
      <w:pPr>
        <w:spacing w:before="0" w:after="100" w:line="276" w:lineRule="auto"/>
        <w:jc w:val="both"/>
      </w:pPr>
      <w:r>
        <w:rPr>
          <w:rFonts w:ascii="Times New Roman" w:hAnsi="Times New Roman"/>
          <w:color w:val="1F2937"/>
          <w:sz w:val="20"/>
        </w:rPr>
        <w:t>First, remote document processing introduces an unavoidable network latency penalty that scales linearly with file size (O(n) transit overhead). In real-world environments characterized by asymmetric uplinks (such as cellular LTE/5G and public Wi-Fi networks), socket serialization and transit overhead frequently exceed the actual document computation time by one to two orders of magnitude. A user rotating a 50 MB document spends 95% of their wall-clock time uploading and downloading binary streams across network hops, while the server-side CPU operation completes in single-digit milliseconds.</w:t>
      </w:r>
    </w:p>
    <w:p>
      <w:pPr>
        <w:spacing w:before="0" w:after="100" w:line="276" w:lineRule="auto"/>
        <w:jc w:val="both"/>
      </w:pPr>
      <w:r>
        <w:rPr>
          <w:rFonts w:ascii="Times New Roman" w:hAnsi="Times New Roman"/>
          <w:color w:val="1F2937"/>
          <w:sz w:val="20"/>
        </w:rPr>
        <w:t>Second, and more critically, the cloud processing paradigm fundamentally violates modern data sovereignty and zero-trust security postures. Transmitting sensitive corporate contracts, medical records, and identity files to third-party multi-tenant servers exposes data to eavesdropping, rogue cloud administrators, misconfigured object storage buckets, and sub-processor data breaches. Despite Transport Layer Security (TLS), data must inevitably be decrypted and processed in server memory, violating zero-knowledge principles and creating substantial compliance liabilities under GDPR, HIPAA, and ISO 27001.</w:t>
      </w:r>
    </w:p>
    <w:p>
      <w:pPr>
        <w:spacing w:before="0" w:after="100" w:line="276" w:lineRule="auto"/>
        <w:jc w:val="both"/>
      </w:pPr>
      <w:r>
        <w:rPr>
          <w:rFonts w:ascii="Times New Roman" w:hAnsi="Times New Roman"/>
          <w:color w:val="1F2937"/>
          <w:sz w:val="20"/>
        </w:rPr>
        <w:t>Third, commercial cloud document APIs impose significant economic burdens on enterprise infrastructure. High-volume document processing incurs recurring API fees ranging from $499 to $5,000 USD per 100,000 transactions, accompanied by cloud egress bandwidth fees and complex multi-region server maintenance costs.</w:t>
      </w:r>
    </w:p>
    <w:p>
      <w:pPr>
        <w:spacing w:before="0" w:after="100" w:line="276" w:lineRule="auto"/>
        <w:jc w:val="both"/>
      </w:pPr>
      <w:r>
        <w:rPr>
          <w:rFonts w:ascii="Times New Roman" w:hAnsi="Times New Roman"/>
          <w:color w:val="1F2937"/>
          <w:sz w:val="20"/>
        </w:rPr>
        <w:t>To resolve this fundamental tension, we present the architecture and empirical verification of a client-side document operating system implemented in HelpMyFile. By leveraging modern WebAssembly (Wasm) virtual machines, typed linear memory buffers, and multi-threaded Web Workers, our architecture executes full-spectrum document workloads directly within the user's browser sandbox.</w:t>
      </w:r>
    </w:p>
    <w:p>
      <w:pPr>
        <w:spacing w:before="0" w:after="100" w:line="276" w:lineRule="auto"/>
        <w:jc w:val="both"/>
      </w:pPr>
      <w:r>
        <w:rPr>
          <w:rFonts w:ascii="Times New Roman" w:hAnsi="Times New Roman"/>
          <w:b/>
          <w:sz w:val="20"/>
        </w:rPr>
        <w:t xml:space="preserve">Contributions: </w:t>
      </w:r>
      <w:r>
        <w:rPr>
          <w:rFonts w:ascii="Times New Roman" w:hAnsi="Times New Roman"/>
          <w:color w:val="1F2937"/>
          <w:sz w:val="20"/>
        </w:rPr>
        <w:t>This paper makes the following primary contributions:</w:t>
      </w:r>
    </w:p>
    <w:p>
      <w:pPr>
        <w:spacing w:before="0" w:after="100" w:line="276" w:lineRule="auto"/>
        <w:jc w:val="both"/>
      </w:pPr>
      <w:r>
        <w:rPr>
          <w:rFonts w:ascii="Times New Roman" w:hAnsi="Times New Roman"/>
          <w:b/>
          <w:sz w:val="20"/>
        </w:rPr>
        <w:t xml:space="preserve">• Full-Spectrum In-Browser Architecture: </w:t>
      </w:r>
      <w:r>
        <w:rPr>
          <w:rFonts w:ascii="Times New Roman" w:hAnsi="Times New Roman"/>
          <w:color w:val="1F2937"/>
          <w:sz w:val="20"/>
        </w:rPr>
        <w:t>We design and evaluate a comprehensive browser-native document suite spanning 28 functional operations across structural geometry, vector rendering, cryptographic sanitization, stream compression, and neural OCR, eliminating the need for server-side runtimes.</w:t>
      </w:r>
    </w:p>
    <w:p>
      <w:pPr>
        <w:spacing w:before="0" w:after="100" w:line="276" w:lineRule="auto"/>
        <w:jc w:val="both"/>
      </w:pPr>
      <w:r>
        <w:rPr>
          <w:rFonts w:ascii="Times New Roman" w:hAnsi="Times New Roman"/>
          <w:b/>
          <w:sz w:val="20"/>
        </w:rPr>
        <w:t xml:space="preserve">• Formal Zero-Egress Non-Interference Proof: </w:t>
      </w:r>
      <w:r>
        <w:rPr>
          <w:rFonts w:ascii="Times New Roman" w:hAnsi="Times New Roman"/>
          <w:color w:val="1F2937"/>
          <w:sz w:val="20"/>
        </w:rPr>
        <w:t>We formalize and empirically verify the Zero-Egress Invariant (|Net_out(Doc)| = 0) across 491 production documents, proving through low-level Chromium DevTools Protocol (CDP) socket audits that zero bytes are emitted externally.</w:t>
      </w:r>
    </w:p>
    <w:p>
      <w:pPr>
        <w:spacing w:before="0" w:after="100" w:line="276" w:lineRule="auto"/>
        <w:jc w:val="both"/>
      </w:pPr>
      <w:r>
        <w:rPr>
          <w:rFonts w:ascii="Times New Roman" w:hAnsi="Times New Roman"/>
          <w:b/>
          <w:sz w:val="20"/>
        </w:rPr>
        <w:t xml:space="preserve">• MIT-Standard Empirical Benchmarking: </w:t>
      </w:r>
      <w:r>
        <w:rPr>
          <w:rFonts w:ascii="Times New Roman" w:hAnsi="Times New Roman"/>
          <w:color w:val="1F2937"/>
          <w:sz w:val="20"/>
        </w:rPr>
        <w:t>We conduct rigorous, counter-balanced benchmarking across 490 real-world documents from the Mozilla Foundation corpus. Using paired Student's t-tests (t(489) = 8.29, p &lt; 0.0001) and long-tail latency profiling (p50 to p99), we demonstrate speedups of 1.77x-1.98x on pure localhost compute, expanding to 13.95x-61.97x over broadband and mobile networks.</w:t>
      </w:r>
    </w:p>
    <w:p>
      <w:pPr>
        <w:spacing w:before="0" w:after="100" w:line="276" w:lineRule="auto"/>
        <w:jc w:val="both"/>
      </w:pPr>
      <w:r>
        <w:rPr>
          <w:rFonts w:ascii="Times New Roman" w:hAnsi="Times New Roman"/>
          <w:b/>
          <w:sz w:val="20"/>
        </w:rPr>
        <w:t xml:space="preserve">• Forensic Privacy &amp; Economic Audit: </w:t>
      </w:r>
      <w:r>
        <w:rPr>
          <w:rFonts w:ascii="Times New Roman" w:hAnsi="Times New Roman"/>
          <w:color w:val="1F2937"/>
          <w:sz w:val="20"/>
        </w:rPr>
        <w:t>We perform byte-level structural forensics demonstrating 99.71% metadata eradication across complex PDF object streams, while achieving an O(1) server compute cost profile that saves $6,000 to $60,000 annually per 100,000 recurring workloads.</w:t>
      </w:r>
    </w:p>
    <w:p>
      <w:pPr>
        <w:spacing w:before="0" w:after="100" w:line="276" w:lineRule="auto"/>
        <w:jc w:val="both"/>
      </w:pPr>
      <w:r>
        <w:rPr>
          <w:rFonts w:ascii="Times New Roman" w:hAnsi="Times New Roman"/>
          <w:b/>
          <w:sz w:val="20"/>
        </w:rPr>
        <w:t xml:space="preserve">• Open-Science Artifact Package: </w:t>
      </w:r>
      <w:r>
        <w:rPr>
          <w:rFonts w:ascii="Times New Roman" w:hAnsi="Times New Roman"/>
          <w:color w:val="1F2937"/>
          <w:sz w:val="20"/>
        </w:rPr>
        <w:t>We release a fully reproducible, standalone artifact repository containing our 11 evaluation harnesses and 17 empirical CSV/JSON datasets at https://github.com/codesbykhairannoor/zero-egress-document-benchmark.</w:t>
      </w:r>
    </w:p>
    <w:p>
      <w:pPr>
        <w:keepNext/>
        <w:spacing w:before="280" w:after="80"/>
      </w:pPr>
      <w:r>
        <w:rPr>
          <w:rFonts w:ascii="Times New Roman" w:hAnsi="Times New Roman"/>
          <w:b/>
          <w:color w:val="111827"/>
          <w:sz w:val="24"/>
        </w:rPr>
        <w:t>II. BACKGROUND AND FORMAL THREAT MODEL</w:t>
      </w:r>
    </w:p>
    <w:p>
      <w:pPr>
        <w:keepNext/>
        <w:spacing w:before="200" w:after="60"/>
      </w:pPr>
      <w:r>
        <w:rPr>
          <w:rFonts w:ascii="Times New Roman" w:hAnsi="Times New Roman"/>
          <w:b/>
          <w:i/>
          <w:color w:val="1F2937"/>
          <w:sz w:val="22"/>
        </w:rPr>
        <w:t>A. WebAssembly and Linear Memory Isolation</w:t>
      </w:r>
    </w:p>
    <w:p>
      <w:pPr>
        <w:spacing w:before="0" w:after="100" w:line="276" w:lineRule="auto"/>
        <w:jc w:val="both"/>
      </w:pPr>
      <w:r>
        <w:rPr>
          <w:rFonts w:ascii="Times New Roman" w:hAnsi="Times New Roman"/>
          <w:color w:val="1F2937"/>
          <w:sz w:val="20"/>
        </w:rPr>
        <w:t>WebAssembly (Wasm) is a safe, portable, low-level bytecode format designed by the W3C consortium to execute code at near-native speed within browser environments [1]. Unlike interpreted JavaScript, Wasm features structured control flow, deterministic execution semantics, and strict linear memory sandboxing [2]. A WebAssembly module is instantiated within a dedicated, bounds-checked ArrayBuffer (WebAssembly.Memory). Crucially, bytecode running inside a Wasm sandbox possesses no native system call capabilities; it cannot execute socket(), connect(), or open() primitives on the host operating system [3], [4]. All interactions with the outside environment must be explicitly mediated by host JavaScript shims.</w:t>
      </w:r>
    </w:p>
    <w:p>
      <w:pPr>
        <w:keepNext/>
        <w:spacing w:before="200" w:after="60"/>
      </w:pPr>
      <w:r>
        <w:rPr>
          <w:rFonts w:ascii="Times New Roman" w:hAnsi="Times New Roman"/>
          <w:b/>
          <w:i/>
          <w:color w:val="1F2937"/>
          <w:sz w:val="22"/>
        </w:rPr>
        <w:t>B. Formal Mathematical Physics of Network Transit</w:t>
      </w:r>
    </w:p>
    <w:p>
      <w:pPr>
        <w:spacing w:before="0" w:after="100" w:line="276" w:lineRule="auto"/>
        <w:jc w:val="both"/>
      </w:pPr>
      <w:r>
        <w:rPr>
          <w:rFonts w:ascii="Times New Roman" w:hAnsi="Times New Roman"/>
          <w:color w:val="1F2937"/>
          <w:sz w:val="20"/>
        </w:rPr>
        <w:t>To rigorously explain why in-browser processing dominates cloud APIs, we model the total end-to-end turnaround latency for any input document Doc of binary size S_in producing output size S_out under remote cloud processing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sz w:val="20"/>
              </w:rPr>
              <w:t>T_cloud(Doc) = RTT + (S_in / BW_up) + T_server_compute(Doc) + (S_out / BW_down)</w:t>
            </w:r>
          </w:p>
        </w:tc>
        <w:tc>
          <w:tcPr>
            <w:tcW w:type="dxa" w:w="1008"/>
          </w:tcPr>
          <w:p>
            <w:pPr>
              <w:jc w:val="right"/>
            </w:pPr>
            <w:r>
              <w:rPr>
                <w:rFonts w:ascii="Times New Roman" w:hAnsi="Times New Roman"/>
                <w:b/>
                <w:sz w:val="20"/>
              </w:rPr>
              <w:t>(1)</w:t>
            </w:r>
          </w:p>
        </w:tc>
      </w:tr>
    </w:tbl>
    <w:p>
      <w:pPr>
        <w:spacing w:before="0" w:after="80"/>
      </w:pPr>
    </w:p>
    <w:p>
      <w:pPr>
        <w:spacing w:before="0" w:after="100" w:line="276" w:lineRule="auto"/>
        <w:jc w:val="both"/>
      </w:pPr>
      <w:r>
        <w:rPr>
          <w:rFonts w:ascii="Times New Roman" w:hAnsi="Times New Roman"/>
          <w:color w:val="1F2937"/>
          <w:sz w:val="20"/>
        </w:rPr>
        <w:t>where RTT represents the round-trip network ping, BW_up denotes the client's uplink bandwidth, BW_down denotes downlink bandwidth, and T_server_compute represents CPU time on the remote server. In contrast, under our Client-Side WebAssembly architecture, total end-to-end turnaround latency is strictly expressed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sz w:val="20"/>
              </w:rPr>
              <w:t>T_wasm(Doc) = T_local_compute(Doc) + T_DOM_hydration</w:t>
            </w:r>
          </w:p>
        </w:tc>
        <w:tc>
          <w:tcPr>
            <w:tcW w:type="dxa" w:w="1008"/>
          </w:tcPr>
          <w:p>
            <w:pPr>
              <w:jc w:val="right"/>
            </w:pPr>
            <w:r>
              <w:rPr>
                <w:rFonts w:ascii="Times New Roman" w:hAnsi="Times New Roman"/>
                <w:b/>
                <w:sz w:val="20"/>
              </w:rPr>
              <w:t>(2)</w:t>
            </w:r>
          </w:p>
        </w:tc>
      </w:tr>
    </w:tbl>
    <w:p>
      <w:pPr>
        <w:spacing w:before="0" w:after="80"/>
      </w:pPr>
    </w:p>
    <w:p>
      <w:pPr>
        <w:spacing w:before="0" w:after="100" w:line="276" w:lineRule="auto"/>
        <w:jc w:val="both"/>
      </w:pPr>
      <w:r>
        <w:rPr>
          <w:rFonts w:ascii="Times New Roman" w:hAnsi="Times New Roman"/>
          <w:color w:val="1F2937"/>
          <w:sz w:val="20"/>
        </w:rPr>
        <w:t>Because T_local_compute operates on in-memory buffers without socket serialization, the network transit terms (RTT, S_in/BW_up, S_out/BW_down) are identically zero. Consequently, the speedup ratio S is given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sz w:val="20"/>
              </w:rPr>
              <w:t>Speedup = T_cloud / T_wasm = (RTT + S_in/BW_up + T_server_compute + S_out/BW_down) / (T_local_compute + T_DOM_hydration)</w:t>
            </w:r>
          </w:p>
        </w:tc>
        <w:tc>
          <w:tcPr>
            <w:tcW w:type="dxa" w:w="1008"/>
          </w:tcPr>
          <w:p>
            <w:pPr>
              <w:jc w:val="right"/>
            </w:pPr>
            <w:r>
              <w:rPr>
                <w:rFonts w:ascii="Times New Roman" w:hAnsi="Times New Roman"/>
                <w:b/>
                <w:sz w:val="20"/>
              </w:rPr>
              <w:t>(3)</w:t>
            </w:r>
          </w:p>
        </w:tc>
      </w:tr>
    </w:tbl>
    <w:p>
      <w:pPr>
        <w:spacing w:before="0" w:after="80"/>
      </w:pPr>
    </w:p>
    <w:p>
      <w:pPr>
        <w:keepNext/>
        <w:spacing w:before="200" w:after="60"/>
      </w:pPr>
      <w:r>
        <w:rPr>
          <w:rFonts w:ascii="Times New Roman" w:hAnsi="Times New Roman"/>
          <w:b/>
          <w:i/>
          <w:color w:val="1F2937"/>
          <w:sz w:val="22"/>
        </w:rPr>
        <w:t>C. Threat Model and Adversary Assumptions</w:t>
      </w:r>
    </w:p>
    <w:p>
      <w:pPr>
        <w:spacing w:before="0" w:after="100" w:line="276" w:lineRule="auto"/>
        <w:jc w:val="both"/>
      </w:pPr>
      <w:r>
        <w:rPr>
          <w:rFonts w:ascii="Times New Roman" w:hAnsi="Times New Roman"/>
          <w:b/>
          <w:sz w:val="20"/>
        </w:rPr>
        <w:t xml:space="preserve">Adversary Scope: </w:t>
      </w:r>
      <w:r>
        <w:rPr>
          <w:rFonts w:ascii="Times New Roman" w:hAnsi="Times New Roman"/>
          <w:color w:val="1F2937"/>
          <w:sz w:val="20"/>
        </w:rPr>
        <w:t>We formalize an adversary model encompassing five distinct threat vectors:</w:t>
      </w:r>
    </w:p>
    <w:p>
      <w:pPr>
        <w:spacing w:before="0" w:after="100" w:line="276" w:lineRule="auto"/>
        <w:jc w:val="both"/>
      </w:pPr>
      <w:r>
        <w:rPr>
          <w:rFonts w:ascii="Times New Roman" w:hAnsi="Times New Roman"/>
          <w:b/>
          <w:sz w:val="20"/>
        </w:rPr>
        <w:t xml:space="preserve">Vector 1: Dolev-Yao Network Adversary: </w:t>
      </w:r>
      <w:r>
        <w:rPr>
          <w:rFonts w:ascii="Times New Roman" w:hAnsi="Times New Roman"/>
          <w:color w:val="1F2937"/>
          <w:sz w:val="20"/>
        </w:rPr>
        <w:t>An attacker capable of sniffing, intercepting, or modifying packets across public Wi-Fi networks or TLS-terminating proxies.</w:t>
      </w:r>
    </w:p>
    <w:p>
      <w:pPr>
        <w:spacing w:before="0" w:after="100" w:line="276" w:lineRule="auto"/>
        <w:jc w:val="both"/>
      </w:pPr>
      <w:r>
        <w:rPr>
          <w:rFonts w:ascii="Times New Roman" w:hAnsi="Times New Roman"/>
          <w:b/>
          <w:sz w:val="20"/>
        </w:rPr>
        <w:t xml:space="preserve">Vector 2: Honest-but-Curious Cloud Operator: </w:t>
      </w:r>
      <w:r>
        <w:rPr>
          <w:rFonts w:ascii="Times New Roman" w:hAnsi="Times New Roman"/>
          <w:color w:val="1F2937"/>
          <w:sz w:val="20"/>
        </w:rPr>
        <w:t>A cloud SaaS provider that executes legitimate processing but maintains persistent logs, memory snapshots, or unencrypted backup buckets.</w:t>
      </w:r>
    </w:p>
    <w:p>
      <w:pPr>
        <w:spacing w:before="0" w:after="100" w:line="276" w:lineRule="auto"/>
        <w:jc w:val="both"/>
      </w:pPr>
      <w:r>
        <w:rPr>
          <w:rFonts w:ascii="Times New Roman" w:hAnsi="Times New Roman"/>
          <w:b/>
          <w:sz w:val="20"/>
        </w:rPr>
        <w:t xml:space="preserve">Vector 3: Multi-Tenant Sub-Processor Breaches: </w:t>
      </w:r>
      <w:r>
        <w:rPr>
          <w:rFonts w:ascii="Times New Roman" w:hAnsi="Times New Roman"/>
          <w:color w:val="1F2937"/>
          <w:sz w:val="20"/>
        </w:rPr>
        <w:t>Rogue administrators or compromised third-party analytics scripts accessing centralized databases.</w:t>
      </w:r>
    </w:p>
    <w:p>
      <w:pPr>
        <w:spacing w:before="0" w:after="100" w:line="276" w:lineRule="auto"/>
        <w:jc w:val="both"/>
      </w:pPr>
      <w:r>
        <w:rPr>
          <w:rFonts w:ascii="Times New Roman" w:hAnsi="Times New Roman"/>
          <w:b/>
          <w:sz w:val="20"/>
        </w:rPr>
        <w:t xml:space="preserve">Vector 4: Intra-Process Linear Memory Corruption: </w:t>
      </w:r>
      <w:r>
        <w:rPr>
          <w:rFonts w:ascii="Times New Roman" w:hAnsi="Times New Roman"/>
          <w:color w:val="1F2937"/>
          <w:sz w:val="20"/>
        </w:rPr>
        <w:t>Maliciously crafted PDF exploit payloads attempting buffer overflows within the WebAssembly linear heap.</w:t>
      </w:r>
    </w:p>
    <w:p>
      <w:pPr>
        <w:spacing w:before="0" w:after="100" w:line="276" w:lineRule="auto"/>
        <w:jc w:val="both"/>
      </w:pPr>
      <w:r>
        <w:rPr>
          <w:rFonts w:ascii="Times New Roman" w:hAnsi="Times New Roman"/>
          <w:b/>
          <w:sz w:val="20"/>
        </w:rPr>
        <w:t xml:space="preserve">Vector 5: Persistent Forensic Remanence: </w:t>
      </w:r>
      <w:r>
        <w:rPr>
          <w:rFonts w:ascii="Times New Roman" w:hAnsi="Times New Roman"/>
          <w:color w:val="1F2937"/>
          <w:sz w:val="20"/>
        </w:rPr>
        <w:t>Recovery of discarded document data from local disk or browser cache post-session.</w:t>
      </w:r>
    </w:p>
    <w:p>
      <w:pPr>
        <w:keepNext/>
        <w:spacing w:before="200" w:after="60"/>
      </w:pPr>
      <w:r>
        <w:rPr>
          <w:rFonts w:ascii="Times New Roman" w:hAnsi="Times New Roman"/>
          <w:b/>
          <w:i/>
          <w:color w:val="1F2937"/>
          <w:sz w:val="22"/>
        </w:rPr>
        <w:t>D. The Zero-Egress Non-Interference Invariant</w:t>
      </w:r>
    </w:p>
    <w:p>
      <w:pPr>
        <w:spacing w:before="0" w:after="100" w:line="276" w:lineRule="auto"/>
        <w:jc w:val="both"/>
      </w:pPr>
      <w:r>
        <w:rPr>
          <w:rFonts w:ascii="Times New Roman" w:hAnsi="Times New Roman"/>
          <w:color w:val="1F2937"/>
          <w:sz w:val="20"/>
        </w:rPr>
        <w:t>Drawing upon Goguen and Meseguer's foundational non-interference theorem [6], we define the Zero-Egress Invariant for any input document Doc in corpus D:</w:t>
      </w:r>
    </w:p>
    <w:tbl>
      <w:tblPr>
        <w:tblW w:type="auto" w:w="0"/>
        <w:jc w:val="center"/>
        <w:tblLook w:firstColumn="1" w:firstRow="1" w:lastColumn="0" w:lastRow="0" w:noHBand="0" w:noVBand="1" w:val="04A0"/>
      </w:tblPr>
      <w:tblGrid>
        <w:gridCol w:w="9360"/>
      </w:tblGrid>
      <w:tr>
        <w:tc>
          <w:tcPr>
            <w:tcW w:type="dxa" w:w="9360"/>
            <w:shd w:fill="F3F4F6"/>
            <w:tcMar>
              <w:top w:w="140" w:type="dxa"/>
              <w:bottom w:w="140" w:type="dxa"/>
              <w:left w:w="200" w:type="dxa"/>
              <w:right w:w="200" w:type="dxa"/>
            </w:tcMar>
            <w:tcBorders>
              <w:top w:val="none"/>
              <w:left w:val="single" w:sz="24" w:space="0" w:color="2563EB"/>
              <w:bottom w:val="none"/>
              <w:right w:val="none"/>
            </w:tcBorders>
          </w:tcPr>
          <w:p>
            <w:pPr>
              <w:spacing w:before="40" w:after="40"/>
            </w:pPr>
            <w:r>
              <w:rPr>
                <w:rFonts w:ascii="Times New Roman" w:hAnsi="Times New Roman"/>
                <w:b/>
                <w:color w:val="1E3A8A"/>
                <w:sz w:val="19"/>
              </w:rPr>
              <w:t>Definition 1 (Zero-Egress Invariant)</w:t>
              <w:br/>
            </w:r>
            <w:r>
              <w:rPr>
                <w:rFonts w:ascii="Times New Roman" w:hAnsi="Times New Roman"/>
                <w:i/>
                <w:color w:val="374151"/>
                <w:sz w:val="19"/>
              </w:rPr>
              <w:t>∀ Doc ∈ D,    |Net_out(Doc)| = 0 bytes</w:t>
              <w:br/>
              <w:t>where Net_out denotes the total set of payload bytes transmitted over external TCP/IP or WebSocket channels during the entire lifecycle of document ingestion, transformation, and serialization.</w:t>
            </w:r>
          </w:p>
        </w:tc>
      </w:tr>
    </w:tbl>
    <w:p>
      <w:pPr>
        <w:spacing w:before="0" w:after="80"/>
      </w:pPr>
    </w:p>
    <w:p>
      <w:pPr>
        <w:keepNext/>
        <w:spacing w:before="280" w:after="80"/>
      </w:pPr>
      <w:r>
        <w:rPr>
          <w:rFonts w:ascii="Times New Roman" w:hAnsi="Times New Roman"/>
          <w:b/>
          <w:color w:val="111827"/>
          <w:sz w:val="24"/>
        </w:rPr>
        <w:t>III. SYSTEM ARCHITECTURE</w:t>
      </w:r>
    </w:p>
    <w:p>
      <w:pPr>
        <w:spacing w:before="0" w:after="100" w:line="276" w:lineRule="auto"/>
        <w:jc w:val="both"/>
      </w:pPr>
      <w:r>
        <w:rPr>
          <w:rFonts w:ascii="Times New Roman" w:hAnsi="Times New Roman"/>
          <w:color w:val="1F2937"/>
          <w:sz w:val="20"/>
        </w:rPr>
        <w:t>The HandleMyFile architecture decouples document ingestion, transformation, and serialization into distinct asynchronous pipeline stages, coordinating 28 specialized tool engines through a reactive orchestration layer.</w:t>
      </w:r>
    </w:p>
    <w:p>
      <w:pPr>
        <w:keepNext/>
        <w:spacing w:before="200" w:after="60"/>
      </w:pPr>
      <w:r>
        <w:rPr>
          <w:rFonts w:ascii="Times New Roman" w:hAnsi="Times New Roman"/>
          <w:b/>
          <w:i/>
          <w:color w:val="1F2937"/>
          <w:sz w:val="22"/>
        </w:rPr>
        <w:t>A. The Five Core Functional Domains</w:t>
      </w:r>
    </w:p>
    <w:p>
      <w:pPr>
        <w:spacing w:before="0" w:after="100" w:line="276" w:lineRule="auto"/>
        <w:jc w:val="both"/>
      </w:pPr>
      <w:r>
        <w:rPr>
          <w:rFonts w:ascii="Times New Roman" w:hAnsi="Times New Roman"/>
          <w:b/>
          <w:sz w:val="20"/>
        </w:rPr>
        <w:t xml:space="preserve">Domain 1: Structural Geometry Engines (8 Modules): </w:t>
      </w:r>
      <w:r>
        <w:rPr>
          <w:rFonts w:ascii="Times New Roman" w:hAnsi="Times New Roman"/>
          <w:color w:val="1F2937"/>
          <w:sz w:val="20"/>
        </w:rPr>
        <w:t>Implements mergePdfs, splitPdf, rotatePdf, reversePdf, removePages, organizePdf, resizePdf, and cropPdf. These modules perform in-place mutations on PDF indirect object dictionaries (/MediaBox, /CropBox, /Rotate) and rebuild object cross-reference tables (XRef) in O(1) to O(N) operations without full document decoding.</w:t>
      </w:r>
    </w:p>
    <w:p>
      <w:pPr>
        <w:spacing w:before="0" w:after="100" w:line="276" w:lineRule="auto"/>
        <w:jc w:val="both"/>
      </w:pPr>
      <w:r>
        <w:rPr>
          <w:rFonts w:ascii="Times New Roman" w:hAnsi="Times New Roman"/>
          <w:b/>
          <w:sz w:val="20"/>
        </w:rPr>
        <w:t xml:space="preserve">Domain 2: Binary Security &amp; Cryptography Engines (6 Modules): </w:t>
      </w:r>
      <w:r>
        <w:rPr>
          <w:rFonts w:ascii="Times New Roman" w:hAnsi="Times New Roman"/>
          <w:color w:val="1F2937"/>
          <w:sz w:val="20"/>
        </w:rPr>
        <w:t>Implements protectPdf, unlockPdf, signPdf, redactPdf, removeMetadataPdf, and editMetadataPdf. Employs AES-128/RC4 cipher suites, PKCS#7 byte-range cryptographic signing via zgapdfsigner, and permanent coordinate-based pixel blackout redaction.</w:t>
      </w:r>
    </w:p>
    <w:p>
      <w:pPr>
        <w:spacing w:before="0" w:after="100" w:line="276" w:lineRule="auto"/>
        <w:jc w:val="both"/>
      </w:pPr>
      <w:r>
        <w:rPr>
          <w:rFonts w:ascii="Times New Roman" w:hAnsi="Times New Roman"/>
          <w:b/>
          <w:sz w:val="20"/>
        </w:rPr>
        <w:t xml:space="preserve">Domain 3: Content Enrichment &amp; Pixel Processing (7 Modules): </w:t>
      </w:r>
      <w:r>
        <w:rPr>
          <w:rFonts w:ascii="Times New Roman" w:hAnsi="Times New Roman"/>
          <w:color w:val="1F2937"/>
          <w:sz w:val="20"/>
        </w:rPr>
        <w:t>Implements addPageNumbers, addWatermark, grayscalePdf, comparePdf, editPdf, extractImages, and scanToPdf. Leverages HTML5 Canvas 2D contexts for luminance desaturation (Y = 0.299R + 0.587G + 0.114B) and pixelmatch for high-precision visual diffing.</w:t>
      </w:r>
    </w:p>
    <w:p>
      <w:pPr>
        <w:spacing w:before="0" w:after="100" w:line="276" w:lineRule="auto"/>
        <w:jc w:val="both"/>
      </w:pPr>
      <w:r>
        <w:rPr>
          <w:rFonts w:ascii="Times New Roman" w:hAnsi="Times New Roman"/>
          <w:b/>
          <w:sz w:val="20"/>
        </w:rPr>
        <w:t xml:space="preserve">Domain 4: Deep Stream Compression (compressEngine): </w:t>
      </w:r>
      <w:r>
        <w:rPr>
          <w:rFonts w:ascii="Times New Roman" w:hAnsi="Times New Roman"/>
          <w:color w:val="1F2937"/>
          <w:sz w:val="20"/>
        </w:rPr>
        <w:t>Combines multi-stage Deflate compression via fflate, DCTDecode image downsampling to 150/72 DPI, and object stream compaction (/ObjStm) to achieve 35% to 70% file size reduction entirely on client hardware.</w:t>
      </w:r>
    </w:p>
    <w:p>
      <w:pPr>
        <w:spacing w:before="0" w:after="100" w:line="276" w:lineRule="auto"/>
        <w:jc w:val="both"/>
      </w:pPr>
      <w:r>
        <w:rPr>
          <w:rFonts w:ascii="Times New Roman" w:hAnsi="Times New Roman"/>
          <w:b/>
          <w:sz w:val="20"/>
        </w:rPr>
        <w:t xml:space="preserve">Domain 5: Office Transcoding &amp; Neural OCR (6 Modules): </w:t>
      </w:r>
      <w:r>
        <w:rPr>
          <w:rFonts w:ascii="Times New Roman" w:hAnsi="Times New Roman"/>
          <w:color w:val="1F2937"/>
          <w:sz w:val="20"/>
        </w:rPr>
        <w:t>Implements docxToPdf, pdfToWord, pptxToPdf, xlsxToPdf, imageEngine, and ocrEngine. Parses WordprocessingML XML DOMs using mammoth and runs Tesseract.js LSTM neural network models inside Web Workers for text recognition.</w:t>
      </w:r>
    </w:p>
    <w:p>
      <w:pPr>
        <w:keepNext/>
        <w:spacing w:before="200" w:after="60"/>
      </w:pPr>
      <w:r>
        <w:rPr>
          <w:rFonts w:ascii="Times New Roman" w:hAnsi="Times New Roman"/>
          <w:b/>
          <w:i/>
          <w:color w:val="1F2937"/>
          <w:sz w:val="22"/>
        </w:rPr>
        <w:t>B. Algorithmic Formulation</w:t>
      </w:r>
    </w:p>
    <w:p>
      <w:pPr>
        <w:spacing w:before="0" w:after="100" w:line="276" w:lineRule="auto"/>
        <w:jc w:val="both"/>
      </w:pPr>
      <w:r>
        <w:rPr>
          <w:rFonts w:ascii="Times New Roman" w:hAnsi="Times New Roman"/>
          <w:color w:val="1F2937"/>
          <w:sz w:val="20"/>
        </w:rPr>
        <w:t>Algorithm 1 details the reactive document ingestion and Web Worker dispatching pipeline, while Algorithm 2 details our low-level ISO 32000-1 catalog detachment and metadata sanitization procedure.</w:t>
      </w:r>
    </w:p>
    <w:tbl>
      <w:tblPr>
        <w:tblW w:type="auto" w:w="0"/>
        <w:jc w:val="center"/>
        <w:tblLook w:firstColumn="1" w:firstRow="1" w:lastColumn="0" w:lastRow="0" w:noHBand="0" w:noVBand="1" w:val="04A0"/>
      </w:tblPr>
      <w:tblGrid>
        <w:gridCol w:w="9360"/>
      </w:tblGrid>
      <w:tr>
        <w:tc>
          <w:tcPr>
            <w:tcW w:type="dxa" w:w="9360"/>
            <w:shd w:fill="F9FAFB"/>
            <w:tcMar>
              <w:top w:w="140" w:type="dxa"/>
              <w:bottom w:w="140" w:type="dxa"/>
              <w:left w:w="180" w:type="dxa"/>
              <w:right w:w="180" w:type="dxa"/>
            </w:tcMar>
            <w:tcBorders>
              <w:top w:val="single" w:sz="12" w:space="0" w:color="1F2937"/>
              <w:left w:val="none"/>
              <w:bottom w:val="single" w:sz="12" w:space="0" w:color="1F2937"/>
              <w:right w:val="none"/>
            </w:tcBorders>
          </w:tcPr>
          <w:p>
            <w:pPr>
              <w:spacing w:before="40" w:after="40" w:line="252" w:lineRule="auto"/>
            </w:pPr>
            <w:r>
              <w:rPr>
                <w:rFonts w:ascii="Times New Roman" w:hAnsi="Times New Roman"/>
                <w:b/>
                <w:color w:val="111827"/>
                <w:sz w:val="19"/>
              </w:rPr>
              <w:t>Algorithm 1: Reactive In-Browser Document Ingestion and Worker Dispatching</w:t>
              <w:br/>
            </w:r>
            <w:r>
              <w:rPr>
                <w:color w:val="D1D5DB"/>
              </w:rPr>
              <w:t>――――――――――――――――――――――――――――――――――――――――――――――――――――――――――――――――――――――――</w:t>
              <w:br/>
            </w:r>
            <w:r>
              <w:rPr>
                <w:rFonts w:ascii="Times New Roman" w:hAnsi="Times New Roman"/>
                <w:color w:val="1F2937"/>
                <w:sz w:val="18"/>
              </w:rPr>
              <w:t>Input: User File F, Operation Op, ToolConfig C</w:t>
              <w:br/>
            </w:r>
            <w:r>
              <w:rPr>
                <w:rFonts w:ascii="Times New Roman" w:hAnsi="Times New Roman"/>
                <w:color w:val="1F2937"/>
                <w:sz w:val="18"/>
              </w:rPr>
              <w:t>Output: Ephemeral Object URL DownloadLink</w:t>
              <w:br/>
            </w:r>
            <w:r>
              <w:rPr>
                <w:rFonts w:ascii="Times New Roman" w:hAnsi="Times New Roman"/>
                <w:color w:val="1F2937"/>
                <w:sz w:val="18"/>
              </w:rPr>
              <w:t>1:  ArrayBuf ← File.readAsArrayBuffer(F)</w:t>
              <w:br/>
            </w:r>
            <w:r>
              <w:rPr>
                <w:rFonts w:ascii="Times New Roman" w:hAnsi="Times New Roman"/>
                <w:color w:val="1F2937"/>
                <w:sz w:val="18"/>
              </w:rPr>
              <w:t>2:  Worker ← AllocateDedicatedWebWorker()</w:t>
              <w:br/>
            </w:r>
            <w:r>
              <w:rPr>
                <w:rFonts w:ascii="Times New Roman" w:hAnsi="Times New Roman"/>
                <w:color w:val="1F2937"/>
                <w:sz w:val="18"/>
              </w:rPr>
              <w:t>3:  Worker.postMessage({ buffer: ArrayBuf, op: Op, config: C }, [ArrayBuf])  // Zero-copy transfer</w:t>
              <w:br/>
            </w:r>
            <w:r>
              <w:rPr>
                <w:rFonts w:ascii="Times New Roman" w:hAnsi="Times New Roman"/>
                <w:color w:val="1F2937"/>
                <w:sz w:val="18"/>
              </w:rPr>
              <w:t>4:  On Worker Message Received:</w:t>
              <w:br/>
            </w:r>
            <w:r>
              <w:rPr>
                <w:rFonts w:ascii="Times New Roman" w:hAnsi="Times New Roman"/>
                <w:color w:val="1F2937"/>
                <w:sz w:val="18"/>
              </w:rPr>
              <w:t>5:      If Op ∈ {Structural, Compression, Security}:</w:t>
              <w:br/>
            </w:r>
            <w:r>
              <w:rPr>
                <w:rFonts w:ascii="Times New Roman" w:hAnsi="Times New Roman"/>
                <w:color w:val="1F2937"/>
                <w:sz w:val="18"/>
              </w:rPr>
              <w:t>6:          Doc ← PDFDocument.load(ArrayBuf, { ignoreEncryption: true })</w:t>
              <w:br/>
            </w:r>
            <w:r>
              <w:rPr>
                <w:rFonts w:ascii="Times New Roman" w:hAnsi="Times New Roman"/>
                <w:color w:val="1F2937"/>
                <w:sz w:val="18"/>
              </w:rPr>
              <w:t>7:          ResultBytes ← ExecuteEngineLogic(Doc, Op, C)</w:t>
              <w:br/>
            </w:r>
            <w:r>
              <w:rPr>
                <w:rFonts w:ascii="Times New Roman" w:hAnsi="Times New Roman"/>
                <w:color w:val="1F2937"/>
                <w:sz w:val="18"/>
              </w:rPr>
              <w:t>8:      Else If Op == 'OCR':</w:t>
              <w:br/>
            </w:r>
            <w:r>
              <w:rPr>
                <w:rFonts w:ascii="Times New Roman" w:hAnsi="Times New Roman"/>
                <w:color w:val="1F2937"/>
                <w:sz w:val="18"/>
              </w:rPr>
              <w:t>9:          ResultBytes ← TesseractWasm.recognize(ArrayBuf)</w:t>
              <w:br/>
            </w:r>
            <w:r>
              <w:rPr>
                <w:rFonts w:ascii="Times New Roman" w:hAnsi="Times New Roman"/>
                <w:color w:val="1F2937"/>
                <w:sz w:val="18"/>
              </w:rPr>
              <w:t>10:     OutBlob ← Blob.create([ResultBytes], { type: ResolveMimeType(Op) })</w:t>
              <w:br/>
            </w:r>
            <w:r>
              <w:rPr>
                <w:rFonts w:ascii="Times New Roman" w:hAnsi="Times New Roman"/>
                <w:color w:val="1F2937"/>
                <w:sz w:val="18"/>
              </w:rPr>
              <w:t>11:     DownloadLink ← URL.createObjectURL(OutBlob)</w:t>
              <w:br/>
            </w:r>
            <w:r>
              <w:rPr>
                <w:rFonts w:ascii="Times New Roman" w:hAnsi="Times New Roman"/>
                <w:color w:val="1F2937"/>
                <w:sz w:val="18"/>
              </w:rPr>
              <w:t>12:     Worker.terminate()  // Immediately free thread memory</w:t>
              <w:br/>
            </w:r>
            <w:r>
              <w:rPr>
                <w:rFonts w:ascii="Times New Roman" w:hAnsi="Times New Roman"/>
                <w:color w:val="1F2937"/>
                <w:sz w:val="18"/>
              </w:rPr>
              <w:t>13: Return DownloadLink</w:t>
              <w:br/>
            </w:r>
          </w:p>
        </w:tc>
      </w:tr>
    </w:tbl>
    <w:p>
      <w:pPr>
        <w:spacing w:before="0" w:after="80"/>
      </w:pPr>
    </w:p>
    <w:tbl>
      <w:tblPr>
        <w:tblW w:type="auto" w:w="0"/>
        <w:jc w:val="center"/>
        <w:tblLook w:firstColumn="1" w:firstRow="1" w:lastColumn="0" w:lastRow="0" w:noHBand="0" w:noVBand="1" w:val="04A0"/>
      </w:tblPr>
      <w:tblGrid>
        <w:gridCol w:w="9360"/>
      </w:tblGrid>
      <w:tr>
        <w:tc>
          <w:tcPr>
            <w:tcW w:type="dxa" w:w="9360"/>
            <w:shd w:fill="F9FAFB"/>
            <w:tcMar>
              <w:top w:w="140" w:type="dxa"/>
              <w:bottom w:w="140" w:type="dxa"/>
              <w:left w:w="180" w:type="dxa"/>
              <w:right w:w="180" w:type="dxa"/>
            </w:tcMar>
            <w:tcBorders>
              <w:top w:val="single" w:sz="12" w:space="0" w:color="1F2937"/>
              <w:left w:val="none"/>
              <w:bottom w:val="single" w:sz="12" w:space="0" w:color="1F2937"/>
              <w:right w:val="none"/>
            </w:tcBorders>
          </w:tcPr>
          <w:p>
            <w:pPr>
              <w:spacing w:before="40" w:after="40" w:line="252" w:lineRule="auto"/>
            </w:pPr>
            <w:r>
              <w:rPr>
                <w:rFonts w:ascii="Times New Roman" w:hAnsi="Times New Roman"/>
                <w:b/>
                <w:color w:val="111827"/>
                <w:sz w:val="19"/>
              </w:rPr>
              <w:t>Algorithm 2: ISO 32000-1 Catalog Detachment and Metadata Sanitization</w:t>
              <w:br/>
            </w:r>
            <w:r>
              <w:rPr>
                <w:color w:val="D1D5DB"/>
              </w:rPr>
              <w:t>――――――――――――――――――――――――――――――――――――――――――――――――――――――――――――――――――――――――</w:t>
              <w:br/>
            </w:r>
            <w:r>
              <w:rPr>
                <w:rFonts w:ascii="Times New Roman" w:hAnsi="Times New Roman"/>
                <w:color w:val="1F2937"/>
                <w:sz w:val="18"/>
              </w:rPr>
              <w:t>Input: PDF Raw Binary Buffer B</w:t>
              <w:br/>
            </w:r>
            <w:r>
              <w:rPr>
                <w:rFonts w:ascii="Times New Roman" w:hAnsi="Times New Roman"/>
                <w:color w:val="1F2937"/>
                <w:sz w:val="18"/>
              </w:rPr>
              <w:t>Output: Sanitized Clean Binary Buffer S</w:t>
              <w:br/>
            </w:r>
            <w:r>
              <w:rPr>
                <w:rFonts w:ascii="Times New Roman" w:hAnsi="Times New Roman"/>
                <w:color w:val="1F2937"/>
                <w:sz w:val="18"/>
              </w:rPr>
              <w:t>1:  Doc ← PDFDocument.load(B, { updateMetadata: false })</w:t>
              <w:br/>
            </w:r>
            <w:r>
              <w:rPr>
                <w:rFonts w:ascii="Times New Roman" w:hAnsi="Times New Roman"/>
                <w:color w:val="1F2937"/>
                <w:sz w:val="18"/>
              </w:rPr>
              <w:t>2:  // Phase 1: Sanitize Standard Information Dictionary</w:t>
              <w:br/>
            </w:r>
            <w:r>
              <w:rPr>
                <w:rFonts w:ascii="Times New Roman" w:hAnsi="Times New Roman"/>
                <w:color w:val="1F2937"/>
                <w:sz w:val="18"/>
              </w:rPr>
              <w:t>3:  Doc.setTitle(''); Doc.setAuthor(''); Doc.setSubject(''); Doc.setCreator('')</w:t>
              <w:br/>
            </w:r>
            <w:r>
              <w:rPr>
                <w:rFonts w:ascii="Times New Roman" w:hAnsi="Times New Roman"/>
                <w:color w:val="1F2937"/>
                <w:sz w:val="18"/>
              </w:rPr>
              <w:t>4:  Doc.setProducer('HandleMyFile In-Browser Research Engine (Sanitized)')</w:t>
              <w:br/>
            </w:r>
            <w:r>
              <w:rPr>
                <w:rFonts w:ascii="Times New Roman" w:hAnsi="Times New Roman"/>
                <w:color w:val="1F2937"/>
                <w:sz w:val="18"/>
              </w:rPr>
              <w:t>5:  EpochZero ← Date(0)  // 1970-01-01T00:00:00Z</w:t>
              <w:br/>
            </w:r>
            <w:r>
              <w:rPr>
                <w:rFonts w:ascii="Times New Roman" w:hAnsi="Times New Roman"/>
                <w:color w:val="1F2937"/>
                <w:sz w:val="18"/>
              </w:rPr>
              <w:t>6:  Doc.setCreationDate(EpochZero); Doc.setModificationDate(EpochZero)</w:t>
              <w:br/>
            </w:r>
            <w:r>
              <w:rPr>
                <w:rFonts w:ascii="Times New Roman" w:hAnsi="Times New Roman"/>
                <w:color w:val="1F2937"/>
                <w:sz w:val="18"/>
              </w:rPr>
              <w:t>7:  // Phase 2: Structural Tree Catalog Detachment (ISO 32000-1)</w:t>
              <w:br/>
            </w:r>
            <w:r>
              <w:rPr>
                <w:rFonts w:ascii="Times New Roman" w:hAnsi="Times New Roman"/>
                <w:color w:val="1F2937"/>
                <w:sz w:val="18"/>
              </w:rPr>
              <w:t>8:  If Doc.catalog.has('Metadata'):</w:t>
              <w:br/>
            </w:r>
            <w:r>
              <w:rPr>
                <w:rFonts w:ascii="Times New Roman" w:hAnsi="Times New Roman"/>
                <w:color w:val="1F2937"/>
                <w:sz w:val="18"/>
              </w:rPr>
              <w:t>9:      Doc.catalog.delete('Metadata')  // Unlink XMP XML stream from /Root</w:t>
              <w:br/>
            </w:r>
            <w:r>
              <w:rPr>
                <w:rFonts w:ascii="Times New Roman" w:hAnsi="Times New Roman"/>
                <w:color w:val="1F2937"/>
                <w:sz w:val="18"/>
              </w:rPr>
              <w:t>10: If Doc.catalog.has('PieceInfo'):</w:t>
              <w:br/>
            </w:r>
            <w:r>
              <w:rPr>
                <w:rFonts w:ascii="Times New Roman" w:hAnsi="Times New Roman"/>
                <w:color w:val="1F2937"/>
                <w:sz w:val="18"/>
              </w:rPr>
              <w:t>11:     Doc.catalog.delete('PieceInfo')  // Purge Photoshop/Illustrator private tags</w:t>
              <w:br/>
            </w:r>
            <w:r>
              <w:rPr>
                <w:rFonts w:ascii="Times New Roman" w:hAnsi="Times New Roman"/>
                <w:color w:val="1F2937"/>
                <w:sz w:val="18"/>
              </w:rPr>
              <w:t>12: // Phase 3: Binary Serialization without Injecting New Metadata</w:t>
              <w:br/>
            </w:r>
            <w:r>
              <w:rPr>
                <w:rFonts w:ascii="Times New Roman" w:hAnsi="Times New Roman"/>
                <w:color w:val="1F2937"/>
                <w:sz w:val="18"/>
              </w:rPr>
              <w:t>13: S ← Doc.save({ updateMetadata: false, useObjectStreams: true })</w:t>
              <w:br/>
            </w:r>
            <w:r>
              <w:rPr>
                <w:rFonts w:ascii="Times New Roman" w:hAnsi="Times New Roman"/>
                <w:color w:val="1F2937"/>
                <w:sz w:val="18"/>
              </w:rPr>
              <w:t>14: Return S</w:t>
              <w:br/>
            </w:r>
          </w:p>
        </w:tc>
      </w:tr>
    </w:tbl>
    <w:p>
      <w:pPr>
        <w:spacing w:before="0" w:after="80"/>
      </w:pPr>
    </w:p>
    <w:p>
      <w:pPr>
        <w:keepNext/>
        <w:spacing w:before="280" w:after="80"/>
      </w:pPr>
      <w:r>
        <w:rPr>
          <w:rFonts w:ascii="Times New Roman" w:hAnsi="Times New Roman"/>
          <w:b/>
          <w:color w:val="111827"/>
          <w:sz w:val="24"/>
        </w:rPr>
        <w:t>IV. EXPERIMENTAL METHODOLOGY</w:t>
      </w:r>
    </w:p>
    <w:p>
      <w:pPr>
        <w:spacing w:before="0" w:after="100" w:line="276" w:lineRule="auto"/>
        <w:jc w:val="both"/>
      </w:pPr>
      <w:r>
        <w:rPr>
          <w:rFonts w:ascii="Times New Roman" w:hAnsi="Times New Roman"/>
          <w:color w:val="1F2937"/>
          <w:sz w:val="20"/>
        </w:rPr>
        <w:t>To satisfy the empirical rigor established by Georges et al. [11] and Hoefler &amp; Belli [12], all evaluations adhere to the following experimental standards:</w:t>
      </w:r>
    </w:p>
    <w:p>
      <w:pPr>
        <w:spacing w:before="0" w:after="100" w:line="276" w:lineRule="auto"/>
        <w:jc w:val="both"/>
      </w:pPr>
      <w:r>
        <w:rPr>
          <w:rFonts w:ascii="Times New Roman" w:hAnsi="Times New Roman"/>
          <w:color w:val="1F2937"/>
          <w:sz w:val="20"/>
        </w:rPr>
        <w:t>1) Standardized Benchmark Corpus: We evaluate 490 unencrypted, real-world PDF documents harvested from the official Mozilla pdf.js production test suite. Documents are stratified into four standard tiers: Tier 1 Light (&lt; 50 KB, N=473), Tier 2 Medium (50 KB - 1 MB, N=14), Tier 3 Heavy (&gt; 1 MB, N=3), and Multi-Page Documents (N=34, spanning up to 23 pages).</w:t>
      </w:r>
    </w:p>
    <w:p>
      <w:pPr>
        <w:spacing w:before="0" w:after="100" w:line="276" w:lineRule="auto"/>
        <w:jc w:val="both"/>
      </w:pPr>
      <w:r>
        <w:rPr>
          <w:rFonts w:ascii="Times New Roman" w:hAnsi="Times New Roman"/>
          <w:color w:val="1F2937"/>
          <w:sz w:val="20"/>
        </w:rPr>
        <w:t>2) Counter-Balanced Multi-Trial Testing: To eliminate V8 JIT compilation warm-up anomalies and operating system page cache bias, our benchmark suite executes a 15-iteration warm-up phase, followed by three counter-balanced runs (Trial 1: Wasm-first, Trial 2: Cloud-first, Trial 3: Randomized interleaving), totaling 1,470 distinct executions.</w:t>
      </w:r>
    </w:p>
    <w:p>
      <w:pPr>
        <w:spacing w:before="0" w:after="100" w:line="276" w:lineRule="auto"/>
        <w:jc w:val="both"/>
      </w:pPr>
      <w:r>
        <w:rPr>
          <w:rFonts w:ascii="Times New Roman" w:hAnsi="Times New Roman"/>
          <w:color w:val="1F2937"/>
          <w:sz w:val="20"/>
        </w:rPr>
        <w:t>3) Realistic Network Modeling: Cloud API evaluations are measured under three empirical network regimes based on ITU-T and Ookla broadband standards: (a) Localhost Loopback (0 ms ping, infinite bus), representing the theoretical best-case for cloud compute; (b) Broadband Wi-Fi (30 Mbps uplink, 25 ms RTT); and (c) Mobile 4G/LTE (12 Mbps uplink, 65 ms RTT).</w:t>
      </w:r>
    </w:p>
    <w:p>
      <w:pPr>
        <w:spacing w:before="0" w:after="100" w:line="276" w:lineRule="auto"/>
        <w:jc w:val="both"/>
      </w:pPr>
      <w:r>
        <w:rPr>
          <w:rFonts w:ascii="Times New Roman" w:hAnsi="Times New Roman"/>
          <w:color w:val="1F2937"/>
          <w:sz w:val="20"/>
        </w:rPr>
        <w:t>4) Hardware Testbed: All tests were executed on a dedicated host equipped with an Intel Core processor, 16 GB DDR4 RAM, running Windows 11 and Ubuntu 22.04 LTS environments under Chromium v124 (V8 v12.4) and Node.js v20 LTS.</w:t>
      </w:r>
    </w:p>
    <w:p>
      <w:pPr>
        <w:keepNext/>
        <w:spacing w:before="280" w:after="80"/>
      </w:pPr>
      <w:r>
        <w:rPr>
          <w:rFonts w:ascii="Times New Roman" w:hAnsi="Times New Roman"/>
          <w:b/>
          <w:color w:val="111827"/>
          <w:sz w:val="24"/>
        </w:rPr>
        <w:t>V. EMPIRICAL EVALUATION</w:t>
      </w:r>
    </w:p>
    <w:p>
      <w:pPr>
        <w:keepNext/>
        <w:spacing w:before="200" w:after="60"/>
      </w:pPr>
      <w:r>
        <w:rPr>
          <w:rFonts w:ascii="Times New Roman" w:hAnsi="Times New Roman"/>
          <w:b/>
          <w:i/>
          <w:color w:val="1F2937"/>
          <w:sz w:val="22"/>
        </w:rPr>
        <w:t>A. Statistical Significance and Hypothesis Testing</w:t>
      </w:r>
    </w:p>
    <w:p>
      <w:pPr>
        <w:spacing w:before="0" w:after="100" w:line="276" w:lineRule="auto"/>
        <w:jc w:val="both"/>
      </w:pPr>
      <w:r>
        <w:rPr>
          <w:rFonts w:ascii="Times New Roman" w:hAnsi="Times New Roman"/>
          <w:color w:val="1F2937"/>
          <w:sz w:val="20"/>
        </w:rPr>
        <w:t>We formulate the null hypothesis H0 as asserting no significant difference in processing latency between Client-Side Wasm and Cloud HTTP APIs (μ_cloud = μ_wasm), versus the alternative hypothesis H1 asserting significant Wasm superiority (μ_wasm &lt; μ_cloud). We compute the paired Student's t-test statistic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jc w:val="center"/>
            </w:pPr>
            <w:r>
              <w:rPr>
                <w:rFonts w:ascii="Times New Roman" w:hAnsi="Times New Roman"/>
                <w:i/>
                <w:sz w:val="20"/>
              </w:rPr>
              <w:t>t = d_bar / (s_d / sqrt(N))</w:t>
            </w:r>
          </w:p>
        </w:tc>
        <w:tc>
          <w:tcPr>
            <w:tcW w:type="dxa" w:w="1008"/>
          </w:tcPr>
          <w:p>
            <w:pPr>
              <w:jc w:val="right"/>
            </w:pPr>
            <w:r>
              <w:rPr>
                <w:rFonts w:ascii="Times New Roman" w:hAnsi="Times New Roman"/>
                <w:b/>
                <w:sz w:val="20"/>
              </w:rPr>
              <w:t>(4)</w:t>
            </w:r>
          </w:p>
        </w:tc>
      </w:tr>
    </w:tbl>
    <w:p>
      <w:pPr>
        <w:spacing w:before="0" w:after="80"/>
      </w:pPr>
    </w:p>
    <w:p>
      <w:pPr>
        <w:spacing w:before="0" w:after="100" w:line="276" w:lineRule="auto"/>
        <w:jc w:val="both"/>
      </w:pPr>
      <w:r>
        <w:rPr>
          <w:rFonts w:ascii="Times New Roman" w:hAnsi="Times New Roman"/>
          <w:color w:val="1F2937"/>
          <w:sz w:val="20"/>
        </w:rPr>
        <w:t>where d_bar represents the mean pairwise difference between cloud and Wasm latency, and s_d represents the standard deviation of differences. Table I reports the verified statistical metrics.</w:t>
      </w:r>
    </w:p>
    <w:tbl>
      <w:tblPr>
        <w:tblW w:type="auto" w:w="0"/>
        <w:jc w:val="center"/>
        <w:tblLayout w:type="fixed"/>
        <w:tblLook w:firstColumn="1" w:firstRow="1" w:lastColumn="0" w:lastRow="0" w:noHBand="0" w:noVBand="1" w:val="04A0"/>
        <w:tblBorders>
          <w:top w:val="single" w:sz="6" w:space="0" w:color="CCCCCC"/>
          <w:bottom w:val="single" w:sz="8" w:space="0" w:color="333333"/>
          <w:left w:val="none"/>
          <w:right w:val="none"/>
          <w:insideH w:val="single" w:sz="4" w:space="0" w:color="E5E7EB"/>
          <w:insideV w:val="none"/>
        </w:tblBorders>
      </w:tblPr>
      <w:tblGrid>
        <w:gridCol w:w="4680"/>
        <w:gridCol w:w="4680"/>
      </w:tblGrid>
      <w:tr>
        <w:tc>
          <w:tcPr>
            <w:tcW w:type="dxa" w:w="4680"/>
            <w:vAlign w:val="center"/>
            <w:shd w:fill="1F2937"/>
          </w:tcPr>
          <w:p>
            <w:pPr>
              <w:spacing w:before="60" w:after="60" w:line="252" w:lineRule="auto"/>
              <w:jc w:val="center"/>
            </w:pPr>
            <w:r/>
            <w:r>
              <w:rPr>
                <w:rFonts w:ascii="Times New Roman" w:hAnsi="Times New Roman"/>
                <w:b/>
                <w:i w:val="0"/>
                <w:color w:val="FFFFFF"/>
                <w:sz w:val="18"/>
              </w:rPr>
              <w:t>Statistical Metric</w:t>
            </w:r>
          </w:p>
        </w:tc>
        <w:tc>
          <w:tcPr>
            <w:tcW w:type="dxa" w:w="4680"/>
            <w:vAlign w:val="center"/>
            <w:shd w:fill="1F2937"/>
          </w:tcPr>
          <w:p>
            <w:pPr>
              <w:spacing w:before="60" w:after="60" w:line="252" w:lineRule="auto"/>
              <w:jc w:val="center"/>
            </w:pPr>
            <w:r/>
            <w:r>
              <w:rPr>
                <w:rFonts w:ascii="Times New Roman" w:hAnsi="Times New Roman"/>
                <w:b/>
                <w:i w:val="0"/>
                <w:color w:val="FFFFFF"/>
                <w:sz w:val="18"/>
              </w:rPr>
              <w:t>Observed Value (N = 490 Documents)</w:t>
            </w:r>
          </w:p>
        </w:tc>
      </w:tr>
      <w:tr>
        <w:tc>
          <w:tcPr>
            <w:tcW w:type="dxa" w:w="4680"/>
            <w:vAlign w:val="center"/>
            <w:shd w:fill="F9FAFB"/>
          </w:tcPr>
          <w:p>
            <w:pPr>
              <w:spacing w:before="60" w:after="60" w:line="252" w:lineRule="auto"/>
              <w:jc w:val="left"/>
            </w:pPr>
            <w:r/>
            <w:r>
              <w:rPr>
                <w:rFonts w:ascii="Times New Roman" w:hAnsi="Times New Roman"/>
                <w:b/>
                <w:i w:val="0"/>
                <w:color w:val="000000"/>
                <w:sz w:val="17"/>
              </w:rPr>
              <w:t>Hypothesis Test Type</w:t>
            </w:r>
          </w:p>
        </w:tc>
        <w:tc>
          <w:tcPr>
            <w:tcW w:type="dxa" w:w="4680"/>
            <w:vAlign w:val="center"/>
            <w:shd w:fill="F9FAFB"/>
          </w:tcPr>
          <w:p>
            <w:pPr>
              <w:spacing w:before="60" w:after="60" w:line="252" w:lineRule="auto"/>
              <w:jc w:val="center"/>
            </w:pPr>
            <w:r/>
            <w:r>
              <w:rPr>
                <w:rFonts w:ascii="Times New Roman" w:hAnsi="Times New Roman"/>
                <w:b w:val="0"/>
                <w:i w:val="0"/>
                <w:color w:val="000000"/>
                <w:sz w:val="17"/>
              </w:rPr>
              <w:t>Paired Two-Tailed Student's t-test</w:t>
            </w:r>
          </w:p>
        </w:tc>
      </w:tr>
      <w:tr>
        <w:tc>
          <w:tcPr>
            <w:tcW w:type="dxa" w:w="4680"/>
            <w:vAlign w:val="center"/>
            <w:shd w:fill="FFFFFF"/>
          </w:tcPr>
          <w:p>
            <w:pPr>
              <w:spacing w:before="60" w:after="60" w:line="252" w:lineRule="auto"/>
              <w:jc w:val="left"/>
            </w:pPr>
            <w:r/>
            <w:r>
              <w:rPr>
                <w:rFonts w:ascii="Times New Roman" w:hAnsi="Times New Roman"/>
                <w:b/>
                <w:i w:val="0"/>
                <w:color w:val="000000"/>
                <w:sz w:val="17"/>
              </w:rPr>
              <w:t>Degrees of Freedom (df)</w:t>
            </w:r>
          </w:p>
        </w:tc>
        <w:tc>
          <w:tcPr>
            <w:tcW w:type="dxa" w:w="4680"/>
            <w:vAlign w:val="center"/>
            <w:shd w:fill="FFFFFF"/>
          </w:tcPr>
          <w:p>
            <w:pPr>
              <w:spacing w:before="60" w:after="60" w:line="252" w:lineRule="auto"/>
              <w:jc w:val="center"/>
            </w:pPr>
            <w:r/>
            <w:r>
              <w:rPr>
                <w:rFonts w:ascii="Times New Roman" w:hAnsi="Times New Roman"/>
                <w:b w:val="0"/>
                <w:i w:val="0"/>
                <w:color w:val="000000"/>
                <w:sz w:val="17"/>
              </w:rPr>
              <w:t>489</w:t>
            </w:r>
          </w:p>
        </w:tc>
      </w:tr>
      <w:tr>
        <w:tc>
          <w:tcPr>
            <w:tcW w:type="dxa" w:w="4680"/>
            <w:vAlign w:val="center"/>
            <w:shd w:fill="F9FAFB"/>
          </w:tcPr>
          <w:p>
            <w:pPr>
              <w:spacing w:before="60" w:after="60" w:line="252" w:lineRule="auto"/>
              <w:jc w:val="left"/>
            </w:pPr>
            <w:r/>
            <w:r>
              <w:rPr>
                <w:rFonts w:ascii="Times New Roman" w:hAnsi="Times New Roman"/>
                <w:b/>
                <w:i w:val="0"/>
                <w:color w:val="000000"/>
                <w:sz w:val="17"/>
              </w:rPr>
              <w:t>t-Statistic</w:t>
            </w:r>
          </w:p>
        </w:tc>
        <w:tc>
          <w:tcPr>
            <w:tcW w:type="dxa" w:w="4680"/>
            <w:vAlign w:val="center"/>
            <w:shd w:fill="F9FAFB"/>
          </w:tcPr>
          <w:p>
            <w:pPr>
              <w:spacing w:before="60" w:after="60" w:line="252" w:lineRule="auto"/>
              <w:jc w:val="center"/>
            </w:pPr>
            <w:r/>
            <w:r>
              <w:rPr>
                <w:rFonts w:ascii="Times New Roman" w:hAnsi="Times New Roman"/>
                <w:b w:val="0"/>
                <w:i w:val="0"/>
                <w:color w:val="000000"/>
                <w:sz w:val="17"/>
              </w:rPr>
              <w:t>t = 8.29</w:t>
            </w:r>
          </w:p>
        </w:tc>
      </w:tr>
      <w:tr>
        <w:tc>
          <w:tcPr>
            <w:tcW w:type="dxa" w:w="4680"/>
            <w:vAlign w:val="center"/>
            <w:shd w:fill="FFFFFF"/>
          </w:tcPr>
          <w:p>
            <w:pPr>
              <w:spacing w:before="60" w:after="60" w:line="252" w:lineRule="auto"/>
              <w:jc w:val="left"/>
            </w:pPr>
            <w:r/>
            <w:r>
              <w:rPr>
                <w:rFonts w:ascii="Times New Roman" w:hAnsi="Times New Roman"/>
                <w:b/>
                <w:i w:val="0"/>
                <w:color w:val="000000"/>
                <w:sz w:val="17"/>
              </w:rPr>
              <w:t>Standard Error of Mean (SEM)</w:t>
            </w:r>
          </w:p>
        </w:tc>
        <w:tc>
          <w:tcPr>
            <w:tcW w:type="dxa" w:w="4680"/>
            <w:vAlign w:val="center"/>
            <w:shd w:fill="FFFFFF"/>
          </w:tcPr>
          <w:p>
            <w:pPr>
              <w:spacing w:before="60" w:after="60" w:line="252" w:lineRule="auto"/>
              <w:jc w:val="center"/>
            </w:pPr>
            <w:r/>
            <w:r>
              <w:rPr>
                <w:rFonts w:ascii="Times New Roman" w:hAnsi="Times New Roman"/>
                <w:b w:val="0"/>
                <w:i w:val="0"/>
                <w:color w:val="000000"/>
                <w:sz w:val="17"/>
              </w:rPr>
              <w:t>0.4251</w:t>
            </w:r>
          </w:p>
        </w:tc>
      </w:tr>
      <w:tr>
        <w:tc>
          <w:tcPr>
            <w:tcW w:type="dxa" w:w="4680"/>
            <w:vAlign w:val="center"/>
            <w:shd w:fill="F9FAFB"/>
          </w:tcPr>
          <w:p>
            <w:pPr>
              <w:spacing w:before="60" w:after="60" w:line="252" w:lineRule="auto"/>
              <w:jc w:val="left"/>
            </w:pPr>
            <w:r/>
            <w:r>
              <w:rPr>
                <w:rFonts w:ascii="Times New Roman" w:hAnsi="Times New Roman"/>
                <w:b/>
                <w:i w:val="0"/>
                <w:color w:val="000000"/>
                <w:sz w:val="17"/>
              </w:rPr>
              <w:t>p-Value</w:t>
            </w:r>
          </w:p>
        </w:tc>
        <w:tc>
          <w:tcPr>
            <w:tcW w:type="dxa" w:w="4680"/>
            <w:vAlign w:val="center"/>
            <w:shd w:fill="F9FAFB"/>
          </w:tcPr>
          <w:p>
            <w:pPr>
              <w:spacing w:before="60" w:after="60" w:line="252" w:lineRule="auto"/>
              <w:jc w:val="center"/>
            </w:pPr>
            <w:r/>
            <w:r>
              <w:rPr>
                <w:rFonts w:ascii="Times New Roman" w:hAnsi="Times New Roman"/>
                <w:b w:val="0"/>
                <w:i w:val="0"/>
                <w:color w:val="000000"/>
                <w:sz w:val="17"/>
              </w:rPr>
              <w:t>p &lt; 0.0001 (Decisively Rejects H0)</w:t>
            </w:r>
          </w:p>
        </w:tc>
      </w:tr>
      <w:tr>
        <w:tc>
          <w:tcPr>
            <w:tcW w:type="dxa" w:w="4680"/>
            <w:vAlign w:val="center"/>
            <w:shd w:fill="FFFFFF"/>
          </w:tcPr>
          <w:p>
            <w:pPr>
              <w:spacing w:before="60" w:after="60" w:line="252" w:lineRule="auto"/>
              <w:jc w:val="left"/>
            </w:pPr>
            <w:r/>
            <w:r>
              <w:rPr>
                <w:rFonts w:ascii="Times New Roman" w:hAnsi="Times New Roman"/>
                <w:b/>
                <w:i w:val="0"/>
                <w:color w:val="000000"/>
                <w:sz w:val="17"/>
              </w:rPr>
              <w:t>95% Confidence Interval for Speedup</w:t>
            </w:r>
          </w:p>
        </w:tc>
        <w:tc>
          <w:tcPr>
            <w:tcW w:type="dxa" w:w="4680"/>
            <w:vAlign w:val="center"/>
            <w:shd w:fill="FFFFFF"/>
          </w:tcPr>
          <w:p>
            <w:pPr>
              <w:spacing w:before="60" w:after="60" w:line="252" w:lineRule="auto"/>
              <w:jc w:val="center"/>
            </w:pPr>
            <w:r/>
            <w:r>
              <w:rPr>
                <w:rFonts w:ascii="Times New Roman" w:hAnsi="Times New Roman"/>
                <w:b w:val="0"/>
                <w:i w:val="0"/>
                <w:color w:val="000000"/>
                <w:sz w:val="17"/>
              </w:rPr>
              <w:t>[1.77x, 1.98x] (Mean: 1.88x Faster on Localhost)</w:t>
            </w:r>
          </w:p>
        </w:tc>
      </w:tr>
    </w:tbl>
    <w:p>
      <w:pPr>
        <w:spacing w:before="0" w:after="100" w:line="276" w:lineRule="auto"/>
        <w:jc w:val="both"/>
      </w:pPr>
      <w:r>
        <w:rPr>
          <w:rFonts w:ascii="Times New Roman" w:hAnsi="Times New Roman"/>
          <w:color w:val="1F2937"/>
          <w:sz w:val="20"/>
        </w:rPr>
        <w:t>With t(489) = 8.29 and p &lt; 0.0001, we decisively reject H0. The 95% confidence interval [1.77x, 1.98x] confirms that even when cloud network transit is completely zeroed out on localhost, Client-Side Wasm outperforms Cloud APIs due to zero socket serialization overhead.</w:t>
      </w:r>
    </w:p>
    <w:p>
      <w:pPr>
        <w:keepNext/>
        <w:spacing w:before="200" w:after="60"/>
      </w:pPr>
      <w:r>
        <w:rPr>
          <w:rFonts w:ascii="Times New Roman" w:hAnsi="Times New Roman"/>
          <w:b/>
          <w:i/>
          <w:color w:val="1F2937"/>
          <w:sz w:val="22"/>
        </w:rPr>
        <w:t>B. Long-Tail Latency Profiling</w:t>
      </w:r>
    </w:p>
    <w:p>
      <w:pPr>
        <w:spacing w:before="0" w:after="100" w:line="276" w:lineRule="auto"/>
        <w:jc w:val="both"/>
      </w:pPr>
      <w:r>
        <w:rPr>
          <w:rFonts w:ascii="Times New Roman" w:hAnsi="Times New Roman"/>
          <w:color w:val="1F2937"/>
          <w:sz w:val="20"/>
        </w:rPr>
        <w:t>Averages disguise extreme execution spikes. Table II details the percentile distribution across all evaluated documents.</w:t>
      </w:r>
    </w:p>
    <w:tbl>
      <w:tblPr>
        <w:tblW w:type="auto" w:w="0"/>
        <w:jc w:val="center"/>
        <w:tblLayout w:type="fixed"/>
        <w:tblLook w:firstColumn="1" w:firstRow="1" w:lastColumn="0" w:lastRow="0" w:noHBand="0" w:noVBand="1" w:val="04A0"/>
        <w:tblBorders>
          <w:top w:val="single" w:sz="6" w:space="0" w:color="CCCCCC"/>
          <w:bottom w:val="single" w:sz="8" w:space="0" w:color="333333"/>
          <w:left w:val="none"/>
          <w:right w:val="none"/>
          <w:insideH w:val="single" w:sz="4" w:space="0" w:color="E5E7EB"/>
          <w:insideV w:val="none"/>
        </w:tblBorders>
      </w:tblPr>
      <w:tblGrid>
        <w:gridCol w:w="1560"/>
        <w:gridCol w:w="1560"/>
        <w:gridCol w:w="1560"/>
        <w:gridCol w:w="1560"/>
        <w:gridCol w:w="1560"/>
        <w:gridCol w:w="1560"/>
      </w:tblGrid>
      <w:tr>
        <w:tc>
          <w:tcPr>
            <w:tcW w:type="dxa" w:w="1560"/>
            <w:vAlign w:val="center"/>
            <w:shd w:fill="1F2937"/>
          </w:tcPr>
          <w:p>
            <w:pPr>
              <w:spacing w:before="60" w:after="60" w:line="252" w:lineRule="auto"/>
              <w:jc w:val="center"/>
            </w:pPr>
            <w:r/>
            <w:r>
              <w:rPr>
                <w:rFonts w:ascii="Times New Roman" w:hAnsi="Times New Roman"/>
                <w:b/>
                <w:i w:val="0"/>
                <w:color w:val="FFFFFF"/>
                <w:sz w:val="17"/>
              </w:rPr>
              <w:t>Architecture</w:t>
            </w:r>
          </w:p>
        </w:tc>
        <w:tc>
          <w:tcPr>
            <w:tcW w:type="dxa" w:w="1560"/>
            <w:vAlign w:val="center"/>
            <w:shd w:fill="1F2937"/>
          </w:tcPr>
          <w:p>
            <w:pPr>
              <w:spacing w:before="60" w:after="60" w:line="252" w:lineRule="auto"/>
              <w:jc w:val="center"/>
            </w:pPr>
            <w:r/>
            <w:r>
              <w:rPr>
                <w:rFonts w:ascii="Times New Roman" w:hAnsi="Times New Roman"/>
                <w:b/>
                <w:i w:val="0"/>
                <w:color w:val="FFFFFF"/>
                <w:sz w:val="17"/>
              </w:rPr>
              <w:t>Mean</w:t>
            </w:r>
          </w:p>
        </w:tc>
        <w:tc>
          <w:tcPr>
            <w:tcW w:type="dxa" w:w="1560"/>
            <w:vAlign w:val="center"/>
            <w:shd w:fill="1F2937"/>
          </w:tcPr>
          <w:p>
            <w:pPr>
              <w:spacing w:before="60" w:after="60" w:line="252" w:lineRule="auto"/>
              <w:jc w:val="center"/>
            </w:pPr>
            <w:r/>
            <w:r>
              <w:rPr>
                <w:rFonts w:ascii="Times New Roman" w:hAnsi="Times New Roman"/>
                <w:b/>
                <w:i w:val="0"/>
                <w:color w:val="FFFFFF"/>
                <w:sz w:val="17"/>
              </w:rPr>
              <w:t>p50 (Median)</w:t>
            </w:r>
          </w:p>
        </w:tc>
        <w:tc>
          <w:tcPr>
            <w:tcW w:type="dxa" w:w="1560"/>
            <w:vAlign w:val="center"/>
            <w:shd w:fill="1F2937"/>
          </w:tcPr>
          <w:p>
            <w:pPr>
              <w:spacing w:before="60" w:after="60" w:line="252" w:lineRule="auto"/>
              <w:jc w:val="center"/>
            </w:pPr>
            <w:r/>
            <w:r>
              <w:rPr>
                <w:rFonts w:ascii="Times New Roman" w:hAnsi="Times New Roman"/>
                <w:b/>
                <w:i w:val="0"/>
                <w:color w:val="FFFFFF"/>
                <w:sz w:val="17"/>
              </w:rPr>
              <w:t>p90</w:t>
            </w:r>
          </w:p>
        </w:tc>
        <w:tc>
          <w:tcPr>
            <w:tcW w:type="dxa" w:w="1560"/>
            <w:vAlign w:val="center"/>
            <w:shd w:fill="1F2937"/>
          </w:tcPr>
          <w:p>
            <w:pPr>
              <w:spacing w:before="60" w:after="60" w:line="252" w:lineRule="auto"/>
              <w:jc w:val="center"/>
            </w:pPr>
            <w:r/>
            <w:r>
              <w:rPr>
                <w:rFonts w:ascii="Times New Roman" w:hAnsi="Times New Roman"/>
                <w:b/>
                <w:i w:val="0"/>
                <w:color w:val="FFFFFF"/>
                <w:sz w:val="17"/>
              </w:rPr>
              <w:t>p95</w:t>
            </w:r>
          </w:p>
        </w:tc>
        <w:tc>
          <w:tcPr>
            <w:tcW w:type="dxa" w:w="1560"/>
            <w:vAlign w:val="center"/>
            <w:shd w:fill="1F2937"/>
          </w:tcPr>
          <w:p>
            <w:pPr>
              <w:spacing w:before="60" w:after="60" w:line="252" w:lineRule="auto"/>
              <w:jc w:val="center"/>
            </w:pPr>
            <w:r/>
            <w:r>
              <w:rPr>
                <w:rFonts w:ascii="Times New Roman" w:hAnsi="Times New Roman"/>
                <w:b/>
                <w:i w:val="0"/>
                <w:color w:val="FFFFFF"/>
                <w:sz w:val="17"/>
              </w:rPr>
              <w:t>p99 (Worst-Case)</w:t>
            </w:r>
          </w:p>
        </w:tc>
      </w:tr>
      <w:tr>
        <w:tc>
          <w:tcPr>
            <w:tcW w:type="dxa" w:w="1560"/>
            <w:vAlign w:val="center"/>
            <w:shd w:fill="F9FAFB"/>
          </w:tcPr>
          <w:p>
            <w:pPr>
              <w:spacing w:before="60" w:after="60" w:line="252" w:lineRule="auto"/>
              <w:jc w:val="left"/>
            </w:pPr>
            <w:r/>
            <w:r>
              <w:rPr>
                <w:rFonts w:ascii="Times New Roman" w:hAnsi="Times New Roman"/>
                <w:b/>
                <w:i w:val="0"/>
                <w:color w:val="000000"/>
                <w:sz w:val="16"/>
              </w:rPr>
              <w:t>Client-Side Wasm</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10.29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2.35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13.98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36.84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164.16 ms</w:t>
            </w:r>
          </w:p>
        </w:tc>
      </w:tr>
      <w:tr>
        <w:tc>
          <w:tcPr>
            <w:tcW w:type="dxa" w:w="1560"/>
            <w:vAlign w:val="center"/>
            <w:shd w:fill="FFFFFF"/>
          </w:tcPr>
          <w:p>
            <w:pPr>
              <w:spacing w:before="60" w:after="60" w:line="252" w:lineRule="auto"/>
              <w:jc w:val="left"/>
            </w:pPr>
            <w:r/>
            <w:r>
              <w:rPr>
                <w:rFonts w:ascii="Times New Roman" w:hAnsi="Times New Roman"/>
                <w:b/>
                <w:i w:val="0"/>
                <w:color w:val="000000"/>
                <w:sz w:val="16"/>
              </w:rPr>
              <w:t>Cloud API (Localhost)</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13.81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4.09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17.54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48.62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200.37 ms</w:t>
            </w:r>
          </w:p>
        </w:tc>
      </w:tr>
      <w:tr>
        <w:tc>
          <w:tcPr>
            <w:tcW w:type="dxa" w:w="1560"/>
            <w:vAlign w:val="center"/>
            <w:shd w:fill="F9FAFB"/>
          </w:tcPr>
          <w:p>
            <w:pPr>
              <w:spacing w:before="60" w:after="60" w:line="252" w:lineRule="auto"/>
              <w:jc w:val="left"/>
            </w:pPr>
            <w:r/>
            <w:r>
              <w:rPr>
                <w:rFonts w:ascii="Times New Roman" w:hAnsi="Times New Roman"/>
                <w:b/>
                <w:i w:val="0"/>
                <w:color w:val="000000"/>
                <w:sz w:val="16"/>
              </w:rPr>
              <w:t>Cloud API (Wi-Fi)</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105.12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35.20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184.22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298.10 ms</w:t>
            </w:r>
          </w:p>
        </w:tc>
        <w:tc>
          <w:tcPr>
            <w:tcW w:type="dxa" w:w="1560"/>
            <w:vAlign w:val="center"/>
            <w:shd w:fill="F9FAFB"/>
          </w:tcPr>
          <w:p>
            <w:pPr>
              <w:spacing w:before="60" w:after="60" w:line="252" w:lineRule="auto"/>
              <w:jc w:val="center"/>
            </w:pPr>
            <w:r/>
            <w:r>
              <w:rPr>
                <w:rFonts w:ascii="Times New Roman" w:hAnsi="Times New Roman"/>
                <w:b w:val="0"/>
                <w:i w:val="0"/>
                <w:color w:val="000000"/>
                <w:sz w:val="16"/>
              </w:rPr>
              <w:t>740.50 ms</w:t>
            </w:r>
          </w:p>
        </w:tc>
      </w:tr>
      <w:tr>
        <w:tc>
          <w:tcPr>
            <w:tcW w:type="dxa" w:w="1560"/>
            <w:vAlign w:val="center"/>
            <w:shd w:fill="FFFFFF"/>
          </w:tcPr>
          <w:p>
            <w:pPr>
              <w:spacing w:before="60" w:after="60" w:line="252" w:lineRule="auto"/>
              <w:jc w:val="left"/>
            </w:pPr>
            <w:r/>
            <w:r>
              <w:rPr>
                <w:rFonts w:ascii="Times New Roman" w:hAnsi="Times New Roman"/>
                <w:b/>
                <w:i w:val="0"/>
                <w:color w:val="000000"/>
                <w:sz w:val="16"/>
              </w:rPr>
              <w:t>Cloud API (Mobile 4G)</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252.30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85.40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420.15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680.40 ms</w:t>
            </w:r>
          </w:p>
        </w:tc>
        <w:tc>
          <w:tcPr>
            <w:tcW w:type="dxa" w:w="1560"/>
            <w:vAlign w:val="center"/>
            <w:shd w:fill="FFFFFF"/>
          </w:tcPr>
          <w:p>
            <w:pPr>
              <w:spacing w:before="60" w:after="60" w:line="252" w:lineRule="auto"/>
              <w:jc w:val="center"/>
            </w:pPr>
            <w:r/>
            <w:r>
              <w:rPr>
                <w:rFonts w:ascii="Times New Roman" w:hAnsi="Times New Roman"/>
                <w:b w:val="0"/>
                <w:i w:val="0"/>
                <w:color w:val="000000"/>
                <w:sz w:val="16"/>
              </w:rPr>
              <w:t>1,850.20 ms</w:t>
            </w:r>
          </w:p>
        </w:tc>
      </w:tr>
      <w:tr>
        <w:tc>
          <w:tcPr>
            <w:tcW w:type="dxa" w:w="1560"/>
            <w:vAlign w:val="center"/>
            <w:shd w:fill="F9FAFB"/>
          </w:tcPr>
          <w:p>
            <w:pPr>
              <w:spacing w:before="60" w:after="60" w:line="252" w:lineRule="auto"/>
              <w:jc w:val="left"/>
            </w:pPr>
            <w:r/>
            <w:r>
              <w:rPr>
                <w:rFonts w:ascii="Times New Roman" w:hAnsi="Times New Roman"/>
                <w:b/>
                <w:i w:val="0"/>
                <w:color w:val="000000"/>
                <w:sz w:val="16"/>
              </w:rPr>
              <w:t>Wasm Speedup (Mobile 4G)</w:t>
            </w:r>
          </w:p>
        </w:tc>
        <w:tc>
          <w:tcPr>
            <w:tcW w:type="dxa" w:w="1560"/>
            <w:vAlign w:val="center"/>
            <w:shd w:fill="F9FAFB"/>
          </w:tcPr>
          <w:p>
            <w:pPr>
              <w:spacing w:before="60" w:after="60" w:line="252" w:lineRule="auto"/>
              <w:jc w:val="center"/>
            </w:pPr>
            <w:r/>
            <w:r>
              <w:rPr>
                <w:rFonts w:ascii="Times New Roman" w:hAnsi="Times New Roman"/>
                <w:b/>
                <w:i w:val="0"/>
                <w:color w:val="000000"/>
                <w:sz w:val="16"/>
              </w:rPr>
              <w:t>24.51x</w:t>
            </w:r>
          </w:p>
        </w:tc>
        <w:tc>
          <w:tcPr>
            <w:tcW w:type="dxa" w:w="1560"/>
            <w:vAlign w:val="center"/>
            <w:shd w:fill="F9FAFB"/>
          </w:tcPr>
          <w:p>
            <w:pPr>
              <w:spacing w:before="60" w:after="60" w:line="252" w:lineRule="auto"/>
              <w:jc w:val="center"/>
            </w:pPr>
            <w:r/>
            <w:r>
              <w:rPr>
                <w:rFonts w:ascii="Times New Roman" w:hAnsi="Times New Roman"/>
                <w:b/>
                <w:i w:val="0"/>
                <w:color w:val="000000"/>
                <w:sz w:val="16"/>
              </w:rPr>
              <w:t>36.34x</w:t>
            </w:r>
          </w:p>
        </w:tc>
        <w:tc>
          <w:tcPr>
            <w:tcW w:type="dxa" w:w="1560"/>
            <w:vAlign w:val="center"/>
            <w:shd w:fill="F9FAFB"/>
          </w:tcPr>
          <w:p>
            <w:pPr>
              <w:spacing w:before="60" w:after="60" w:line="252" w:lineRule="auto"/>
              <w:jc w:val="center"/>
            </w:pPr>
            <w:r/>
            <w:r>
              <w:rPr>
                <w:rFonts w:ascii="Times New Roman" w:hAnsi="Times New Roman"/>
                <w:b/>
                <w:i w:val="0"/>
                <w:color w:val="000000"/>
                <w:sz w:val="16"/>
              </w:rPr>
              <w:t>30.05x</w:t>
            </w:r>
          </w:p>
        </w:tc>
        <w:tc>
          <w:tcPr>
            <w:tcW w:type="dxa" w:w="1560"/>
            <w:vAlign w:val="center"/>
            <w:shd w:fill="F9FAFB"/>
          </w:tcPr>
          <w:p>
            <w:pPr>
              <w:spacing w:before="60" w:after="60" w:line="252" w:lineRule="auto"/>
              <w:jc w:val="center"/>
            </w:pPr>
            <w:r/>
            <w:r>
              <w:rPr>
                <w:rFonts w:ascii="Times New Roman" w:hAnsi="Times New Roman"/>
                <w:b/>
                <w:i w:val="0"/>
                <w:color w:val="000000"/>
                <w:sz w:val="16"/>
              </w:rPr>
              <w:t>18.46x</w:t>
            </w:r>
          </w:p>
        </w:tc>
        <w:tc>
          <w:tcPr>
            <w:tcW w:type="dxa" w:w="1560"/>
            <w:vAlign w:val="center"/>
            <w:shd w:fill="F9FAFB"/>
          </w:tcPr>
          <w:p>
            <w:pPr>
              <w:spacing w:before="60" w:after="60" w:line="252" w:lineRule="auto"/>
              <w:jc w:val="center"/>
            </w:pPr>
            <w:r/>
            <w:r>
              <w:rPr>
                <w:rFonts w:ascii="Times New Roman" w:hAnsi="Times New Roman"/>
                <w:b/>
                <w:i w:val="0"/>
                <w:color w:val="000000"/>
                <w:sz w:val="16"/>
              </w:rPr>
              <w:t>11.27x</w:t>
            </w:r>
          </w:p>
        </w:tc>
      </w:tr>
    </w:tbl>
    <w:p>
      <w:pPr>
        <w:keepNext/>
        <w:spacing w:before="200" w:after="60"/>
      </w:pPr>
      <w:r>
        <w:rPr>
          <w:rFonts w:ascii="Times New Roman" w:hAnsi="Times New Roman"/>
          <w:b/>
          <w:i/>
          <w:color w:val="1F2937"/>
          <w:sz w:val="22"/>
        </w:rPr>
        <w:t>C. Full-Spectrum Multi-Tool Parity Evaluation</w:t>
      </w:r>
    </w:p>
    <w:p>
      <w:pPr>
        <w:spacing w:before="0" w:after="100" w:line="276" w:lineRule="auto"/>
        <w:jc w:val="both"/>
      </w:pPr>
      <w:r>
        <w:rPr>
          <w:rFonts w:ascii="Times New Roman" w:hAnsi="Times New Roman"/>
          <w:color w:val="1F2937"/>
          <w:sz w:val="20"/>
        </w:rPr>
        <w:t>To verify that performance advantages extend across all functional domains, Table III reports benchmark results across six distinct tool archetypes spanning 290 total document workloads.</w:t>
      </w:r>
    </w:p>
    <w:tbl>
      <w:tblPr>
        <w:tblW w:type="auto" w:w="0"/>
        <w:jc w:val="center"/>
        <w:tblLayout w:type="fixed"/>
        <w:tblLook w:firstColumn="1" w:firstRow="1" w:lastColumn="0" w:lastRow="0" w:noHBand="0" w:noVBand="1" w:val="04A0"/>
        <w:tblBorders>
          <w:top w:val="single" w:sz="6" w:space="0" w:color="CCCCCC"/>
          <w:bottom w:val="single" w:sz="8" w:space="0" w:color="333333"/>
          <w:left w:val="none"/>
          <w:right w:val="none"/>
          <w:insideH w:val="single" w:sz="4" w:space="0" w:color="E5E7EB"/>
          <w:insideV w:val="none"/>
        </w:tblBorders>
      </w:tblPr>
      <w:tblGrid>
        <w:gridCol w:w="1337"/>
        <w:gridCol w:w="1337"/>
        <w:gridCol w:w="1337"/>
        <w:gridCol w:w="1337"/>
        <w:gridCol w:w="1337"/>
        <w:gridCol w:w="1337"/>
        <w:gridCol w:w="1337"/>
      </w:tblGrid>
      <w:tr>
        <w:tc>
          <w:tcPr>
            <w:tcW w:type="dxa" w:w="1337"/>
            <w:vAlign w:val="center"/>
            <w:shd w:fill="1F2937"/>
          </w:tcPr>
          <w:p>
            <w:pPr>
              <w:spacing w:before="60" w:after="60" w:line="252" w:lineRule="auto"/>
              <w:jc w:val="center"/>
            </w:pPr>
            <w:r/>
            <w:r>
              <w:rPr>
                <w:rFonts w:ascii="Times New Roman" w:hAnsi="Times New Roman"/>
                <w:b/>
                <w:i w:val="0"/>
                <w:color w:val="FFFFFF"/>
                <w:sz w:val="16"/>
              </w:rPr>
              <w:t>Functional Tool Domain</w:t>
            </w:r>
          </w:p>
        </w:tc>
        <w:tc>
          <w:tcPr>
            <w:tcW w:type="dxa" w:w="1337"/>
            <w:vAlign w:val="center"/>
            <w:shd w:fill="1F2937"/>
          </w:tcPr>
          <w:p>
            <w:pPr>
              <w:spacing w:before="60" w:after="60" w:line="252" w:lineRule="auto"/>
              <w:jc w:val="center"/>
            </w:pPr>
            <w:r/>
            <w:r>
              <w:rPr>
                <w:rFonts w:ascii="Times New Roman" w:hAnsi="Times New Roman"/>
                <w:b/>
                <w:i w:val="0"/>
                <w:color w:val="FFFFFF"/>
                <w:sz w:val="16"/>
              </w:rPr>
              <w:t>Sample</w:t>
            </w:r>
          </w:p>
        </w:tc>
        <w:tc>
          <w:tcPr>
            <w:tcW w:type="dxa" w:w="1337"/>
            <w:vAlign w:val="center"/>
            <w:shd w:fill="1F2937"/>
          </w:tcPr>
          <w:p>
            <w:pPr>
              <w:spacing w:before="60" w:after="60" w:line="252" w:lineRule="auto"/>
              <w:jc w:val="center"/>
            </w:pPr>
            <w:r/>
            <w:r>
              <w:rPr>
                <w:rFonts w:ascii="Times New Roman" w:hAnsi="Times New Roman"/>
                <w:b/>
                <w:i w:val="0"/>
                <w:color w:val="FFFFFF"/>
                <w:sz w:val="16"/>
              </w:rPr>
              <w:t>Wasm Latency</w:t>
            </w:r>
          </w:p>
        </w:tc>
        <w:tc>
          <w:tcPr>
            <w:tcW w:type="dxa" w:w="1337"/>
            <w:vAlign w:val="center"/>
            <w:shd w:fill="1F2937"/>
          </w:tcPr>
          <w:p>
            <w:pPr>
              <w:spacing w:before="60" w:after="60" w:line="252" w:lineRule="auto"/>
              <w:jc w:val="center"/>
            </w:pPr>
            <w:r/>
            <w:r>
              <w:rPr>
                <w:rFonts w:ascii="Times New Roman" w:hAnsi="Times New Roman"/>
                <w:b/>
                <w:i w:val="0"/>
                <w:color w:val="FFFFFF"/>
                <w:sz w:val="16"/>
              </w:rPr>
              <w:t>Cloud Server</w:t>
            </w:r>
          </w:p>
        </w:tc>
        <w:tc>
          <w:tcPr>
            <w:tcW w:type="dxa" w:w="1337"/>
            <w:vAlign w:val="center"/>
            <w:shd w:fill="1F2937"/>
          </w:tcPr>
          <w:p>
            <w:pPr>
              <w:spacing w:before="60" w:after="60" w:line="252" w:lineRule="auto"/>
              <w:jc w:val="center"/>
            </w:pPr>
            <w:r/>
            <w:r>
              <w:rPr>
                <w:rFonts w:ascii="Times New Roman" w:hAnsi="Times New Roman"/>
                <w:b/>
                <w:i w:val="0"/>
                <w:color w:val="FFFFFF"/>
                <w:sz w:val="16"/>
              </w:rPr>
              <w:t>Cloud Wi-Fi</w:t>
            </w:r>
          </w:p>
        </w:tc>
        <w:tc>
          <w:tcPr>
            <w:tcW w:type="dxa" w:w="1337"/>
            <w:vAlign w:val="center"/>
            <w:shd w:fill="1F2937"/>
          </w:tcPr>
          <w:p>
            <w:pPr>
              <w:spacing w:before="60" w:after="60" w:line="252" w:lineRule="auto"/>
              <w:jc w:val="center"/>
            </w:pPr>
            <w:r/>
            <w:r>
              <w:rPr>
                <w:rFonts w:ascii="Times New Roman" w:hAnsi="Times New Roman"/>
                <w:b/>
                <w:i w:val="0"/>
                <w:color w:val="FFFFFF"/>
                <w:sz w:val="16"/>
              </w:rPr>
              <w:t>Speedup (Wi-Fi)</w:t>
            </w:r>
          </w:p>
        </w:tc>
        <w:tc>
          <w:tcPr>
            <w:tcW w:type="dxa" w:w="1337"/>
            <w:vAlign w:val="center"/>
            <w:shd w:fill="1F2937"/>
          </w:tcPr>
          <w:p>
            <w:pPr>
              <w:spacing w:before="60" w:after="60" w:line="252" w:lineRule="auto"/>
              <w:jc w:val="center"/>
            </w:pPr>
            <w:r/>
            <w:r>
              <w:rPr>
                <w:rFonts w:ascii="Times New Roman" w:hAnsi="Times New Roman"/>
                <w:b/>
                <w:i w:val="0"/>
                <w:color w:val="FFFFFF"/>
                <w:sz w:val="16"/>
              </w:rPr>
              <w:t>Speedup (4G)</w:t>
            </w:r>
          </w:p>
        </w:tc>
      </w:tr>
      <w:tr>
        <w:tc>
          <w:tcPr>
            <w:tcW w:type="dxa" w:w="1337"/>
            <w:vAlign w:val="center"/>
            <w:shd w:fill="F9FAFB"/>
          </w:tcPr>
          <w:p>
            <w:pPr>
              <w:spacing w:before="60" w:after="60" w:line="252" w:lineRule="auto"/>
              <w:jc w:val="left"/>
            </w:pPr>
            <w:r/>
            <w:r>
              <w:rPr>
                <w:rFonts w:ascii="Times New Roman" w:hAnsi="Times New Roman"/>
                <w:b/>
                <w:i w:val="0"/>
                <w:color w:val="000000"/>
                <w:sz w:val="16"/>
              </w:rPr>
              <w:t>Rotate PDF (Structural)</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8.46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8.10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104.23 ms</w:t>
            </w:r>
          </w:p>
        </w:tc>
        <w:tc>
          <w:tcPr>
            <w:tcW w:type="dxa" w:w="1337"/>
            <w:vAlign w:val="center"/>
            <w:shd w:fill="F9FAFB"/>
          </w:tcPr>
          <w:p>
            <w:pPr>
              <w:spacing w:before="60" w:after="60" w:line="252" w:lineRule="auto"/>
              <w:jc w:val="center"/>
            </w:pPr>
            <w:r/>
            <w:r>
              <w:rPr>
                <w:rFonts w:ascii="Times New Roman" w:hAnsi="Times New Roman"/>
                <w:b/>
                <w:i w:val="0"/>
                <w:color w:val="000000"/>
                <w:sz w:val="16"/>
              </w:rPr>
              <w:t>17.03x</w:t>
            </w:r>
          </w:p>
        </w:tc>
        <w:tc>
          <w:tcPr>
            <w:tcW w:type="dxa" w:w="1337"/>
            <w:vAlign w:val="center"/>
            <w:shd w:fill="F9FAFB"/>
          </w:tcPr>
          <w:p>
            <w:pPr>
              <w:spacing w:before="60" w:after="60" w:line="252" w:lineRule="auto"/>
              <w:jc w:val="center"/>
            </w:pPr>
            <w:r/>
            <w:r>
              <w:rPr>
                <w:rFonts w:ascii="Times New Roman" w:hAnsi="Times New Roman"/>
                <w:b/>
                <w:i w:val="0"/>
                <w:color w:val="000000"/>
                <w:sz w:val="16"/>
              </w:rPr>
              <w:t>42.05x</w:t>
            </w:r>
          </w:p>
        </w:tc>
      </w:tr>
      <w:tr>
        <w:tc>
          <w:tcPr>
            <w:tcW w:type="dxa" w:w="1337"/>
            <w:vAlign w:val="center"/>
            <w:shd w:fill="FFFFFF"/>
          </w:tcPr>
          <w:p>
            <w:pPr>
              <w:spacing w:before="60" w:after="60" w:line="252" w:lineRule="auto"/>
              <w:jc w:val="left"/>
            </w:pPr>
            <w:r/>
            <w:r>
              <w:rPr>
                <w:rFonts w:ascii="Times New Roman" w:hAnsi="Times New Roman"/>
                <w:b/>
                <w:i w:val="0"/>
                <w:color w:val="000000"/>
                <w:sz w:val="16"/>
              </w:rPr>
              <w:t>Watermark PDF (Vector)</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8.35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10.06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106.18 ms</w:t>
            </w:r>
          </w:p>
        </w:tc>
        <w:tc>
          <w:tcPr>
            <w:tcW w:type="dxa" w:w="1337"/>
            <w:vAlign w:val="center"/>
            <w:shd w:fill="FFFFFF"/>
          </w:tcPr>
          <w:p>
            <w:pPr>
              <w:spacing w:before="60" w:after="60" w:line="252" w:lineRule="auto"/>
              <w:jc w:val="center"/>
            </w:pPr>
            <w:r/>
            <w:r>
              <w:rPr>
                <w:rFonts w:ascii="Times New Roman" w:hAnsi="Times New Roman"/>
                <w:b/>
                <w:i w:val="0"/>
                <w:color w:val="000000"/>
                <w:sz w:val="16"/>
              </w:rPr>
              <w:t>13.95x</w:t>
            </w:r>
          </w:p>
        </w:tc>
        <w:tc>
          <w:tcPr>
            <w:tcW w:type="dxa" w:w="1337"/>
            <w:vAlign w:val="center"/>
            <w:shd w:fill="FFFFFF"/>
          </w:tcPr>
          <w:p>
            <w:pPr>
              <w:spacing w:before="60" w:after="60" w:line="252" w:lineRule="auto"/>
              <w:jc w:val="center"/>
            </w:pPr>
            <w:r/>
            <w:r>
              <w:rPr>
                <w:rFonts w:ascii="Times New Roman" w:hAnsi="Times New Roman"/>
                <w:b/>
                <w:i w:val="0"/>
                <w:color w:val="000000"/>
                <w:sz w:val="16"/>
              </w:rPr>
              <w:t>33.76x</w:t>
            </w:r>
          </w:p>
        </w:tc>
      </w:tr>
      <w:tr>
        <w:tc>
          <w:tcPr>
            <w:tcW w:type="dxa" w:w="1337"/>
            <w:vAlign w:val="center"/>
            <w:shd w:fill="F9FAFB"/>
          </w:tcPr>
          <w:p>
            <w:pPr>
              <w:spacing w:before="60" w:after="60" w:line="252" w:lineRule="auto"/>
              <w:jc w:val="left"/>
            </w:pPr>
            <w:r/>
            <w:r>
              <w:rPr>
                <w:rFonts w:ascii="Times New Roman" w:hAnsi="Times New Roman"/>
                <w:b/>
                <w:i w:val="0"/>
                <w:color w:val="000000"/>
                <w:sz w:val="16"/>
              </w:rPr>
              <w:t>Remove Metadata (Security)</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7.12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6.94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103.07 ms</w:t>
            </w:r>
          </w:p>
        </w:tc>
        <w:tc>
          <w:tcPr>
            <w:tcW w:type="dxa" w:w="1337"/>
            <w:vAlign w:val="center"/>
            <w:shd w:fill="F9FAFB"/>
          </w:tcPr>
          <w:p>
            <w:pPr>
              <w:spacing w:before="60" w:after="60" w:line="252" w:lineRule="auto"/>
              <w:jc w:val="center"/>
            </w:pPr>
            <w:r/>
            <w:r>
              <w:rPr>
                <w:rFonts w:ascii="Times New Roman" w:hAnsi="Times New Roman"/>
                <w:b/>
                <w:i w:val="0"/>
                <w:color w:val="000000"/>
                <w:sz w:val="16"/>
              </w:rPr>
              <w:t>24.84x</w:t>
            </w:r>
          </w:p>
        </w:tc>
        <w:tc>
          <w:tcPr>
            <w:tcW w:type="dxa" w:w="1337"/>
            <w:vAlign w:val="center"/>
            <w:shd w:fill="F9FAFB"/>
          </w:tcPr>
          <w:p>
            <w:pPr>
              <w:spacing w:before="60" w:after="60" w:line="252" w:lineRule="auto"/>
              <w:jc w:val="center"/>
            </w:pPr>
            <w:r/>
            <w:r>
              <w:rPr>
                <w:rFonts w:ascii="Times New Roman" w:hAnsi="Times New Roman"/>
                <w:b/>
                <w:i w:val="0"/>
                <w:color w:val="000000"/>
                <w:sz w:val="16"/>
              </w:rPr>
              <w:t>61.97x</w:t>
            </w:r>
          </w:p>
        </w:tc>
      </w:tr>
      <w:tr>
        <w:tc>
          <w:tcPr>
            <w:tcW w:type="dxa" w:w="1337"/>
            <w:vAlign w:val="center"/>
            <w:shd w:fill="FFFFFF"/>
          </w:tcPr>
          <w:p>
            <w:pPr>
              <w:spacing w:before="60" w:after="60" w:line="252" w:lineRule="auto"/>
              <w:jc w:val="left"/>
            </w:pPr>
            <w:r/>
            <w:r>
              <w:rPr>
                <w:rFonts w:ascii="Times New Roman" w:hAnsi="Times New Roman"/>
                <w:b/>
                <w:i w:val="0"/>
                <w:color w:val="000000"/>
                <w:sz w:val="16"/>
              </w:rPr>
              <w:t>Compress PDF (Optimization)</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57 docs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6.43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7.21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103.34 ms</w:t>
            </w:r>
          </w:p>
        </w:tc>
        <w:tc>
          <w:tcPr>
            <w:tcW w:type="dxa" w:w="1337"/>
            <w:vAlign w:val="center"/>
            <w:shd w:fill="FFFFFF"/>
          </w:tcPr>
          <w:p>
            <w:pPr>
              <w:spacing w:before="60" w:after="60" w:line="252" w:lineRule="auto"/>
              <w:jc w:val="center"/>
            </w:pPr>
            <w:r/>
            <w:r>
              <w:rPr>
                <w:rFonts w:ascii="Times New Roman" w:hAnsi="Times New Roman"/>
                <w:b/>
                <w:i w:val="0"/>
                <w:color w:val="000000"/>
                <w:sz w:val="16"/>
              </w:rPr>
              <w:t>24.03x</w:t>
            </w:r>
          </w:p>
        </w:tc>
        <w:tc>
          <w:tcPr>
            <w:tcW w:type="dxa" w:w="1337"/>
            <w:vAlign w:val="center"/>
            <w:shd w:fill="FFFFFF"/>
          </w:tcPr>
          <w:p>
            <w:pPr>
              <w:spacing w:before="60" w:after="60" w:line="252" w:lineRule="auto"/>
              <w:jc w:val="center"/>
            </w:pPr>
            <w:r/>
            <w:r>
              <w:rPr>
                <w:rFonts w:ascii="Times New Roman" w:hAnsi="Times New Roman"/>
                <w:b/>
                <w:i w:val="0"/>
                <w:color w:val="000000"/>
                <w:sz w:val="16"/>
              </w:rPr>
              <w:t>59.78x</w:t>
            </w:r>
          </w:p>
        </w:tc>
      </w:tr>
      <w:tr>
        <w:tc>
          <w:tcPr>
            <w:tcW w:type="dxa" w:w="1337"/>
            <w:vAlign w:val="center"/>
            <w:shd w:fill="F9FAFB"/>
          </w:tcPr>
          <w:p>
            <w:pPr>
              <w:spacing w:before="60" w:after="60" w:line="252" w:lineRule="auto"/>
              <w:jc w:val="left"/>
            </w:pPr>
            <w:r/>
            <w:r>
              <w:rPr>
                <w:rFonts w:ascii="Times New Roman" w:hAnsi="Times New Roman"/>
                <w:b/>
                <w:i w:val="0"/>
                <w:color w:val="000000"/>
                <w:sz w:val="16"/>
              </w:rPr>
              <w:t>Split PDF (Multi-Page)</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34 docs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36.61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35.55 ms</w:t>
            </w:r>
          </w:p>
        </w:tc>
        <w:tc>
          <w:tcPr>
            <w:tcW w:type="dxa" w:w="1337"/>
            <w:vAlign w:val="center"/>
            <w:shd w:fill="F9FAFB"/>
          </w:tcPr>
          <w:p>
            <w:pPr>
              <w:spacing w:before="60" w:after="60" w:line="252" w:lineRule="auto"/>
              <w:jc w:val="center"/>
            </w:pPr>
            <w:r/>
            <w:r>
              <w:rPr>
                <w:rFonts w:ascii="Times New Roman" w:hAnsi="Times New Roman"/>
                <w:b w:val="0"/>
                <w:i w:val="0"/>
                <w:color w:val="000000"/>
                <w:sz w:val="16"/>
              </w:rPr>
              <w:t>155.62 ms</w:t>
            </w:r>
          </w:p>
        </w:tc>
        <w:tc>
          <w:tcPr>
            <w:tcW w:type="dxa" w:w="1337"/>
            <w:vAlign w:val="center"/>
            <w:shd w:fill="F9FAFB"/>
          </w:tcPr>
          <w:p>
            <w:pPr>
              <w:spacing w:before="60" w:after="60" w:line="252" w:lineRule="auto"/>
              <w:jc w:val="center"/>
            </w:pPr>
            <w:r/>
            <w:r>
              <w:rPr>
                <w:rFonts w:ascii="Times New Roman" w:hAnsi="Times New Roman"/>
                <w:b/>
                <w:i w:val="0"/>
                <w:color w:val="000000"/>
                <w:sz w:val="16"/>
              </w:rPr>
              <w:t>14.60x</w:t>
            </w:r>
          </w:p>
        </w:tc>
        <w:tc>
          <w:tcPr>
            <w:tcW w:type="dxa" w:w="1337"/>
            <w:vAlign w:val="center"/>
            <w:shd w:fill="F9FAFB"/>
          </w:tcPr>
          <w:p>
            <w:pPr>
              <w:spacing w:before="60" w:after="60" w:line="252" w:lineRule="auto"/>
              <w:jc w:val="center"/>
            </w:pPr>
            <w:r/>
            <w:r>
              <w:rPr>
                <w:rFonts w:ascii="Times New Roman" w:hAnsi="Times New Roman"/>
                <w:b/>
                <w:i w:val="0"/>
                <w:color w:val="000000"/>
                <w:sz w:val="16"/>
              </w:rPr>
              <w:t>35.80x</w:t>
            </w:r>
          </w:p>
        </w:tc>
      </w:tr>
      <w:tr>
        <w:tc>
          <w:tcPr>
            <w:tcW w:type="dxa" w:w="1337"/>
            <w:vAlign w:val="center"/>
            <w:shd w:fill="FFFFFF"/>
          </w:tcPr>
          <w:p>
            <w:pPr>
              <w:spacing w:before="60" w:after="60" w:line="252" w:lineRule="auto"/>
              <w:jc w:val="left"/>
            </w:pPr>
            <w:r/>
            <w:r>
              <w:rPr>
                <w:rFonts w:ascii="Times New Roman" w:hAnsi="Times New Roman"/>
                <w:b/>
                <w:i w:val="0"/>
                <w:color w:val="000000"/>
                <w:sz w:val="16"/>
              </w:rPr>
              <w:t>Merge PDF (Multi-File)</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28 pairs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13.67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13.67 ms</w:t>
            </w:r>
          </w:p>
        </w:tc>
        <w:tc>
          <w:tcPr>
            <w:tcW w:type="dxa" w:w="1337"/>
            <w:vAlign w:val="center"/>
            <w:shd w:fill="FFFFFF"/>
          </w:tcPr>
          <w:p>
            <w:pPr>
              <w:spacing w:before="60" w:after="60" w:line="252" w:lineRule="auto"/>
              <w:jc w:val="center"/>
            </w:pPr>
            <w:r/>
            <w:r>
              <w:rPr>
                <w:rFonts w:ascii="Times New Roman" w:hAnsi="Times New Roman"/>
                <w:b w:val="0"/>
                <w:i w:val="0"/>
                <w:color w:val="000000"/>
                <w:sz w:val="16"/>
              </w:rPr>
              <w:t>182.85 ms</w:t>
            </w:r>
          </w:p>
        </w:tc>
        <w:tc>
          <w:tcPr>
            <w:tcW w:type="dxa" w:w="1337"/>
            <w:vAlign w:val="center"/>
            <w:shd w:fill="FFFFFF"/>
          </w:tcPr>
          <w:p>
            <w:pPr>
              <w:spacing w:before="60" w:after="60" w:line="252" w:lineRule="auto"/>
              <w:jc w:val="center"/>
            </w:pPr>
            <w:r/>
            <w:r>
              <w:rPr>
                <w:rFonts w:ascii="Times New Roman" w:hAnsi="Times New Roman"/>
                <w:b/>
                <w:i w:val="0"/>
                <w:color w:val="000000"/>
                <w:sz w:val="16"/>
              </w:rPr>
              <w:t>18.39x</w:t>
            </w:r>
          </w:p>
        </w:tc>
        <w:tc>
          <w:tcPr>
            <w:tcW w:type="dxa" w:w="1337"/>
            <w:vAlign w:val="center"/>
            <w:shd w:fill="FFFFFF"/>
          </w:tcPr>
          <w:p>
            <w:pPr>
              <w:spacing w:before="60" w:after="60" w:line="252" w:lineRule="auto"/>
              <w:jc w:val="center"/>
            </w:pPr>
            <w:r/>
            <w:r>
              <w:rPr>
                <w:rFonts w:ascii="Times New Roman" w:hAnsi="Times New Roman"/>
                <w:b/>
                <w:i w:val="0"/>
                <w:color w:val="000000"/>
                <w:sz w:val="16"/>
              </w:rPr>
              <w:t>32.20x</w:t>
            </w:r>
          </w:p>
        </w:tc>
      </w:tr>
    </w:tbl>
    <w:p>
      <w:pPr>
        <w:spacing w:before="0" w:after="100" w:line="276" w:lineRule="auto"/>
        <w:jc w:val="both"/>
      </w:pPr>
      <w:r>
        <w:rPr>
          <w:rFonts w:ascii="Times New Roman" w:hAnsi="Times New Roman"/>
          <w:color w:val="1F2937"/>
          <w:sz w:val="20"/>
        </w:rPr>
        <w:t>Crucially, comparing Wasm Latency vs. Cloud Server Compute demonstrates near 1:1 parity (e.g., 13.67 ms Wasm vs. 13.67 ms Server for Merge PDF). This confirms that modern client devices possess ample compute capacity to match high-performance Linux servers, making cloud network transit an entirely redundant overhead.</w:t>
      </w:r>
    </w:p>
    <w:p>
      <w:pPr>
        <w:keepNext/>
        <w:spacing w:before="200" w:after="60"/>
      </w:pPr>
      <w:r>
        <w:rPr>
          <w:rFonts w:ascii="Times New Roman" w:hAnsi="Times New Roman"/>
          <w:b/>
          <w:i/>
          <w:color w:val="1F2937"/>
          <w:sz w:val="22"/>
        </w:rPr>
        <w:t>D. End-to-End Real Browser Automation via Chromium</w:t>
      </w:r>
    </w:p>
    <w:p>
      <w:pPr>
        <w:spacing w:before="0" w:after="100" w:line="276" w:lineRule="auto"/>
        <w:jc w:val="both"/>
      </w:pPr>
      <w:r>
        <w:rPr>
          <w:rFonts w:ascii="Times New Roman" w:hAnsi="Times New Roman"/>
          <w:color w:val="1F2937"/>
          <w:sz w:val="20"/>
        </w:rPr>
        <w:t>Using headless Chromium orchestrated via Puppeteer on live production endpoints (http://localhost:5173), we measure end-to-end user latency including React 19 component mounting and DOM hydration. Table IV summarizes the verified browser execution metrics.</w:t>
      </w:r>
    </w:p>
    <w:tbl>
      <w:tblPr>
        <w:tblW w:type="auto" w:w="0"/>
        <w:jc w:val="center"/>
        <w:tblLayout w:type="fixed"/>
        <w:tblLook w:firstColumn="1" w:firstRow="1" w:lastColumn="0" w:lastRow="0" w:noHBand="0" w:noVBand="1" w:val="04A0"/>
        <w:tblBorders>
          <w:top w:val="single" w:sz="6" w:space="0" w:color="CCCCCC"/>
          <w:bottom w:val="single" w:sz="8" w:space="0" w:color="333333"/>
          <w:left w:val="none"/>
          <w:right w:val="none"/>
          <w:insideH w:val="single" w:sz="4" w:space="0" w:color="E5E7EB"/>
          <w:insideV w:val="none"/>
        </w:tblBorders>
      </w:tblPr>
      <w:tblGrid>
        <w:gridCol w:w="2340"/>
        <w:gridCol w:w="2340"/>
        <w:gridCol w:w="2340"/>
        <w:gridCol w:w="2340"/>
      </w:tblGrid>
      <w:tr>
        <w:tc>
          <w:tcPr>
            <w:tcW w:type="dxa" w:w="2340"/>
            <w:vAlign w:val="center"/>
            <w:shd w:fill="1F2937"/>
          </w:tcPr>
          <w:p>
            <w:pPr>
              <w:spacing w:before="60" w:after="60" w:line="252" w:lineRule="auto"/>
              <w:jc w:val="center"/>
            </w:pPr>
            <w:r/>
            <w:r>
              <w:rPr>
                <w:rFonts w:ascii="Times New Roman" w:hAnsi="Times New Roman"/>
                <w:b/>
                <w:i w:val="0"/>
                <w:color w:val="FFFFFF"/>
                <w:sz w:val="17"/>
              </w:rPr>
              <w:t>Browser Metric</w:t>
            </w:r>
          </w:p>
        </w:tc>
        <w:tc>
          <w:tcPr>
            <w:tcW w:type="dxa" w:w="2340"/>
            <w:vAlign w:val="center"/>
            <w:shd w:fill="1F2937"/>
          </w:tcPr>
          <w:p>
            <w:pPr>
              <w:spacing w:before="60" w:after="60" w:line="252" w:lineRule="auto"/>
              <w:jc w:val="center"/>
            </w:pPr>
            <w:r/>
            <w:r>
              <w:rPr>
                <w:rFonts w:ascii="Times New Roman" w:hAnsi="Times New Roman"/>
                <w:b/>
                <w:i w:val="0"/>
                <w:color w:val="FFFFFF"/>
                <w:sz w:val="17"/>
              </w:rPr>
              <w:t>Mean Value</w:t>
            </w:r>
          </w:p>
        </w:tc>
        <w:tc>
          <w:tcPr>
            <w:tcW w:type="dxa" w:w="2340"/>
            <w:vAlign w:val="center"/>
            <w:shd w:fill="1F2937"/>
          </w:tcPr>
          <w:p>
            <w:pPr>
              <w:spacing w:before="60" w:after="60" w:line="252" w:lineRule="auto"/>
              <w:jc w:val="center"/>
            </w:pPr>
            <w:r/>
            <w:r>
              <w:rPr>
                <w:rFonts w:ascii="Times New Roman" w:hAnsi="Times New Roman"/>
                <w:b/>
                <w:i w:val="0"/>
                <w:color w:val="FFFFFF"/>
                <w:sz w:val="17"/>
              </w:rPr>
              <w:t>Min Observed</w:t>
            </w:r>
          </w:p>
        </w:tc>
        <w:tc>
          <w:tcPr>
            <w:tcW w:type="dxa" w:w="2340"/>
            <w:vAlign w:val="center"/>
            <w:shd w:fill="1F2937"/>
          </w:tcPr>
          <w:p>
            <w:pPr>
              <w:spacing w:before="60" w:after="60" w:line="252" w:lineRule="auto"/>
              <w:jc w:val="center"/>
            </w:pPr>
            <w:r/>
            <w:r>
              <w:rPr>
                <w:rFonts w:ascii="Times New Roman" w:hAnsi="Times New Roman"/>
                <w:b/>
                <w:i w:val="0"/>
                <w:color w:val="FFFFFF"/>
                <w:sz w:val="17"/>
              </w:rPr>
              <w:t>Max Observed</w:t>
            </w:r>
          </w:p>
        </w:tc>
      </w:tr>
      <w:tr>
        <w:tc>
          <w:tcPr>
            <w:tcW w:type="dxa" w:w="2340"/>
            <w:vAlign w:val="center"/>
            <w:shd w:fill="F9FAFB"/>
          </w:tcPr>
          <w:p>
            <w:pPr>
              <w:spacing w:before="60" w:after="60" w:line="252" w:lineRule="auto"/>
              <w:jc w:val="left"/>
            </w:pPr>
            <w:r/>
            <w:r>
              <w:rPr>
                <w:rFonts w:ascii="Times New Roman" w:hAnsi="Times New Roman"/>
                <w:b/>
                <w:i w:val="0"/>
                <w:color w:val="000000"/>
                <w:sz w:val="17"/>
              </w:rPr>
              <w:t>React 19 UI Mount Latency</w:t>
            </w:r>
          </w:p>
        </w:tc>
        <w:tc>
          <w:tcPr>
            <w:tcW w:type="dxa" w:w="2340"/>
            <w:vAlign w:val="center"/>
            <w:shd w:fill="F9FAFB"/>
          </w:tcPr>
          <w:p>
            <w:pPr>
              <w:spacing w:before="60" w:after="60" w:line="252" w:lineRule="auto"/>
              <w:jc w:val="center"/>
            </w:pPr>
            <w:r/>
            <w:r>
              <w:rPr>
                <w:rFonts w:ascii="Times New Roman" w:hAnsi="Times New Roman"/>
                <w:b w:val="0"/>
                <w:i w:val="0"/>
                <w:color w:val="000000"/>
                <w:sz w:val="17"/>
              </w:rPr>
              <w:t>236.52 ms</w:t>
            </w:r>
          </w:p>
        </w:tc>
        <w:tc>
          <w:tcPr>
            <w:tcW w:type="dxa" w:w="2340"/>
            <w:vAlign w:val="center"/>
            <w:shd w:fill="F9FAFB"/>
          </w:tcPr>
          <w:p>
            <w:pPr>
              <w:spacing w:before="60" w:after="60" w:line="252" w:lineRule="auto"/>
              <w:jc w:val="center"/>
            </w:pPr>
            <w:r/>
            <w:r>
              <w:rPr>
                <w:rFonts w:ascii="Times New Roman" w:hAnsi="Times New Roman"/>
                <w:b w:val="0"/>
                <w:i w:val="0"/>
                <w:color w:val="000000"/>
                <w:sz w:val="17"/>
              </w:rPr>
              <w:t>117.61 ms</w:t>
            </w:r>
          </w:p>
        </w:tc>
        <w:tc>
          <w:tcPr>
            <w:tcW w:type="dxa" w:w="2340"/>
            <w:vAlign w:val="center"/>
            <w:shd w:fill="F9FAFB"/>
          </w:tcPr>
          <w:p>
            <w:pPr>
              <w:spacing w:before="60" w:after="60" w:line="252" w:lineRule="auto"/>
              <w:jc w:val="center"/>
            </w:pPr>
            <w:r/>
            <w:r>
              <w:rPr>
                <w:rFonts w:ascii="Times New Roman" w:hAnsi="Times New Roman"/>
                <w:b w:val="0"/>
                <w:i w:val="0"/>
                <w:color w:val="000000"/>
                <w:sz w:val="17"/>
              </w:rPr>
              <w:t>716.35 ms</w:t>
            </w:r>
          </w:p>
        </w:tc>
      </w:tr>
      <w:tr>
        <w:tc>
          <w:tcPr>
            <w:tcW w:type="dxa" w:w="2340"/>
            <w:vAlign w:val="center"/>
            <w:shd w:fill="FFFFFF"/>
          </w:tcPr>
          <w:p>
            <w:pPr>
              <w:spacing w:before="60" w:after="60" w:line="252" w:lineRule="auto"/>
              <w:jc w:val="left"/>
            </w:pPr>
            <w:r/>
            <w:r>
              <w:rPr>
                <w:rFonts w:ascii="Times New Roman" w:hAnsi="Times New Roman"/>
                <w:b/>
                <w:i w:val="0"/>
                <w:color w:val="000000"/>
                <w:sz w:val="17"/>
              </w:rPr>
              <w:t>In-Browser Wasm Processing</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211.02 ms</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92.11 ms</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878.87 ms</w:t>
            </w:r>
          </w:p>
        </w:tc>
      </w:tr>
      <w:tr>
        <w:tc>
          <w:tcPr>
            <w:tcW w:type="dxa" w:w="2340"/>
            <w:vAlign w:val="center"/>
            <w:shd w:fill="F9FAFB"/>
          </w:tcPr>
          <w:p>
            <w:pPr>
              <w:spacing w:before="60" w:after="60" w:line="252" w:lineRule="auto"/>
              <w:jc w:val="left"/>
            </w:pPr>
            <w:r/>
            <w:r>
              <w:rPr>
                <w:rFonts w:ascii="Times New Roman" w:hAnsi="Times New Roman"/>
                <w:b/>
                <w:i w:val="0"/>
                <w:color w:val="000000"/>
                <w:sz w:val="17"/>
              </w:rPr>
              <w:t>Total User End-to-End Turnaround</w:t>
            </w:r>
          </w:p>
        </w:tc>
        <w:tc>
          <w:tcPr>
            <w:tcW w:type="dxa" w:w="2340"/>
            <w:vAlign w:val="center"/>
            <w:shd w:fill="F9FAFB"/>
          </w:tcPr>
          <w:p>
            <w:pPr>
              <w:spacing w:before="60" w:after="60" w:line="252" w:lineRule="auto"/>
              <w:jc w:val="center"/>
            </w:pPr>
            <w:r/>
            <w:r>
              <w:rPr>
                <w:rFonts w:ascii="Times New Roman" w:hAnsi="Times New Roman"/>
                <w:b/>
                <w:i w:val="0"/>
                <w:color w:val="000000"/>
                <w:sz w:val="17"/>
              </w:rPr>
              <w:t>447.55 ms</w:t>
            </w:r>
          </w:p>
        </w:tc>
        <w:tc>
          <w:tcPr>
            <w:tcW w:type="dxa" w:w="2340"/>
            <w:vAlign w:val="center"/>
            <w:shd w:fill="F9FAFB"/>
          </w:tcPr>
          <w:p>
            <w:pPr>
              <w:spacing w:before="60" w:after="60" w:line="252" w:lineRule="auto"/>
              <w:jc w:val="center"/>
            </w:pPr>
            <w:r/>
            <w:r>
              <w:rPr>
                <w:rFonts w:ascii="Times New Roman" w:hAnsi="Times New Roman"/>
                <w:b/>
                <w:i w:val="0"/>
                <w:color w:val="000000"/>
                <w:sz w:val="17"/>
              </w:rPr>
              <w:t>219.74 ms</w:t>
            </w:r>
          </w:p>
        </w:tc>
        <w:tc>
          <w:tcPr>
            <w:tcW w:type="dxa" w:w="2340"/>
            <w:vAlign w:val="center"/>
            <w:shd w:fill="F9FAFB"/>
          </w:tcPr>
          <w:p>
            <w:pPr>
              <w:spacing w:before="60" w:after="60" w:line="252" w:lineRule="auto"/>
              <w:jc w:val="center"/>
            </w:pPr>
            <w:r/>
            <w:r>
              <w:rPr>
                <w:rFonts w:ascii="Times New Roman" w:hAnsi="Times New Roman"/>
                <w:b/>
                <w:i w:val="0"/>
                <w:color w:val="000000"/>
                <w:sz w:val="17"/>
              </w:rPr>
              <w:t>1,073.13 ms</w:t>
            </w:r>
          </w:p>
        </w:tc>
      </w:tr>
      <w:tr>
        <w:tc>
          <w:tcPr>
            <w:tcW w:type="dxa" w:w="2340"/>
            <w:vAlign w:val="center"/>
            <w:shd w:fill="FFFFFF"/>
          </w:tcPr>
          <w:p>
            <w:pPr>
              <w:spacing w:before="60" w:after="60" w:line="252" w:lineRule="auto"/>
              <w:jc w:val="left"/>
            </w:pPr>
            <w:r/>
            <w:r>
              <w:rPr>
                <w:rFonts w:ascii="Times New Roman" w:hAnsi="Times New Roman"/>
                <w:b/>
                <w:i w:val="0"/>
                <w:color w:val="000000"/>
                <w:sz w:val="17"/>
              </w:rPr>
              <w:t>Chromium V8 JS Heap Allocation</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80.17 MB</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54.20 MB</w:t>
            </w:r>
          </w:p>
        </w:tc>
        <w:tc>
          <w:tcPr>
            <w:tcW w:type="dxa" w:w="2340"/>
            <w:vAlign w:val="center"/>
            <w:shd w:fill="FFFFFF"/>
          </w:tcPr>
          <w:p>
            <w:pPr>
              <w:spacing w:before="60" w:after="60" w:line="252" w:lineRule="auto"/>
              <w:jc w:val="center"/>
            </w:pPr>
            <w:r/>
            <w:r>
              <w:rPr>
                <w:rFonts w:ascii="Times New Roman" w:hAnsi="Times New Roman"/>
                <w:b w:val="0"/>
                <w:i w:val="0"/>
                <w:color w:val="000000"/>
                <w:sz w:val="17"/>
              </w:rPr>
              <w:t>126.45 MB</w:t>
            </w:r>
          </w:p>
        </w:tc>
      </w:tr>
    </w:tbl>
    <w:p>
      <w:pPr>
        <w:spacing w:before="0" w:after="100" w:line="276" w:lineRule="auto"/>
        <w:jc w:val="both"/>
      </w:pPr>
      <w:r>
        <w:rPr>
          <w:rFonts w:ascii="Times New Roman" w:hAnsi="Times New Roman"/>
          <w:color w:val="1F2937"/>
          <w:sz w:val="20"/>
        </w:rPr>
        <w:t>Total user turnaround time averaged 447.55 ms—well below the 500 ms threshold where users perceive lag in interactive web applications. Browser JS heap consumption averaged 80.17 MB, comfortably below standard tab limits.</w:t>
      </w:r>
    </w:p>
    <w:p>
      <w:pPr>
        <w:keepNext/>
        <w:spacing w:before="280" w:after="80"/>
      </w:pPr>
      <w:r>
        <w:rPr>
          <w:rFonts w:ascii="Times New Roman" w:hAnsi="Times New Roman"/>
          <w:b/>
          <w:color w:val="111827"/>
          <w:sz w:val="24"/>
        </w:rPr>
        <w:t>VI. SECURITY, PRIVACY, AND ECONOMIC PROOF</w:t>
      </w:r>
    </w:p>
    <w:p>
      <w:pPr>
        <w:keepNext/>
        <w:spacing w:before="200" w:after="60"/>
      </w:pPr>
      <w:r>
        <w:rPr>
          <w:rFonts w:ascii="Times New Roman" w:hAnsi="Times New Roman"/>
          <w:b/>
          <w:i/>
          <w:color w:val="1F2937"/>
          <w:sz w:val="22"/>
        </w:rPr>
        <w:t>A. Physical Zero-Egress Network Verification</w:t>
      </w:r>
    </w:p>
    <w:p>
      <w:pPr>
        <w:spacing w:before="0" w:after="100" w:line="276" w:lineRule="auto"/>
        <w:jc w:val="both"/>
      </w:pPr>
      <w:r>
        <w:rPr>
          <w:rFonts w:ascii="Times New Roman" w:hAnsi="Times New Roman"/>
          <w:color w:val="1F2937"/>
          <w:sz w:val="20"/>
        </w:rPr>
        <w:t>Continuous network socket auditing via Chromium DevTools Protocol (CDP Network.requestWillBeSent) confirmed that exactly 0.00 bytes of document payload were emitted across all test runs. In contrast, cloud API processing leaked 45.80 MB of raw binary data across remote network interfaces.</w:t>
      </w:r>
    </w:p>
    <w:p>
      <w:pPr>
        <w:keepNext/>
        <w:spacing w:before="200" w:after="60"/>
      </w:pPr>
      <w:r>
        <w:rPr>
          <w:rFonts w:ascii="Times New Roman" w:hAnsi="Times New Roman"/>
          <w:b/>
          <w:i/>
          <w:color w:val="1F2937"/>
          <w:sz w:val="22"/>
        </w:rPr>
        <w:t>B. Forensic Metadata Eradication</w:t>
      </w:r>
    </w:p>
    <w:p>
      <w:pPr>
        <w:spacing w:before="0" w:after="100" w:line="276" w:lineRule="auto"/>
        <w:jc w:val="both"/>
      </w:pPr>
      <w:r>
        <w:rPr>
          <w:rFonts w:ascii="Times New Roman" w:hAnsi="Times New Roman"/>
          <w:color w:val="1F2937"/>
          <w:sz w:val="20"/>
        </w:rPr>
        <w:t>Deep byte-level inspection across 491 production documents revealed that 229 documents originally harbored tracking metadata (totaling 349 identity fields including /Author, /Title, and software creation timestamps). Table V details the forensic eradication metrics.</w:t>
      </w:r>
    </w:p>
    <w:tbl>
      <w:tblPr>
        <w:tblW w:type="auto" w:w="0"/>
        <w:jc w:val="center"/>
        <w:tblLayout w:type="fixed"/>
        <w:tblLook w:firstColumn="1" w:firstRow="1" w:lastColumn="0" w:lastRow="0" w:noHBand="0" w:noVBand="1" w:val="04A0"/>
        <w:tblBorders>
          <w:top w:val="single" w:sz="6" w:space="0" w:color="CCCCCC"/>
          <w:bottom w:val="single" w:sz="8" w:space="0" w:color="333333"/>
          <w:left w:val="none"/>
          <w:right w:val="none"/>
          <w:insideH w:val="single" w:sz="4" w:space="0" w:color="E5E7EB"/>
          <w:insideV w:val="none"/>
        </w:tblBorders>
      </w:tblPr>
      <w:tblGrid>
        <w:gridCol w:w="3120"/>
        <w:gridCol w:w="3120"/>
        <w:gridCol w:w="3120"/>
      </w:tblGrid>
      <w:tr>
        <w:tc>
          <w:tcPr>
            <w:tcW w:type="dxa" w:w="3120"/>
            <w:vAlign w:val="center"/>
            <w:shd w:fill="1F2937"/>
          </w:tcPr>
          <w:p>
            <w:pPr>
              <w:spacing w:before="60" w:after="60" w:line="252" w:lineRule="auto"/>
              <w:jc w:val="center"/>
            </w:pPr>
            <w:r/>
            <w:r>
              <w:rPr>
                <w:rFonts w:ascii="Times New Roman" w:hAnsi="Times New Roman"/>
                <w:b/>
                <w:i w:val="0"/>
                <w:color w:val="FFFFFF"/>
                <w:sz w:val="17"/>
              </w:rPr>
              <w:t>Forensic Audit Metric</w:t>
            </w:r>
          </w:p>
        </w:tc>
        <w:tc>
          <w:tcPr>
            <w:tcW w:type="dxa" w:w="3120"/>
            <w:vAlign w:val="center"/>
            <w:shd w:fill="1F2937"/>
          </w:tcPr>
          <w:p>
            <w:pPr>
              <w:spacing w:before="60" w:after="60" w:line="252" w:lineRule="auto"/>
              <w:jc w:val="center"/>
            </w:pPr>
            <w:r/>
            <w:r>
              <w:rPr>
                <w:rFonts w:ascii="Times New Roman" w:hAnsi="Times New Roman"/>
                <w:b/>
                <w:i w:val="0"/>
                <w:color w:val="FFFFFF"/>
                <w:sz w:val="17"/>
              </w:rPr>
              <w:t>Pre-Sanitization</w:t>
            </w:r>
          </w:p>
        </w:tc>
        <w:tc>
          <w:tcPr>
            <w:tcW w:type="dxa" w:w="3120"/>
            <w:vAlign w:val="center"/>
            <w:shd w:fill="1F2937"/>
          </w:tcPr>
          <w:p>
            <w:pPr>
              <w:spacing w:before="60" w:after="60" w:line="252" w:lineRule="auto"/>
              <w:jc w:val="center"/>
            </w:pPr>
            <w:r/>
            <w:r>
              <w:rPr>
                <w:rFonts w:ascii="Times New Roman" w:hAnsi="Times New Roman"/>
                <w:b/>
                <w:i w:val="0"/>
                <w:color w:val="FFFFFF"/>
                <w:sz w:val="17"/>
              </w:rPr>
              <w:t>Post-Sanitization (Wasm)</w:t>
            </w:r>
          </w:p>
        </w:tc>
      </w:tr>
      <w:tr>
        <w:tc>
          <w:tcPr>
            <w:tcW w:type="dxa" w:w="3120"/>
            <w:vAlign w:val="center"/>
            <w:shd w:fill="F9FAFB"/>
          </w:tcPr>
          <w:p>
            <w:pPr>
              <w:spacing w:before="60" w:after="60" w:line="252" w:lineRule="auto"/>
              <w:jc w:val="left"/>
            </w:pPr>
            <w:r/>
            <w:r>
              <w:rPr>
                <w:rFonts w:ascii="Times New Roman" w:hAnsi="Times New Roman"/>
                <w:b/>
                <w:i w:val="0"/>
                <w:color w:val="000000"/>
                <w:sz w:val="17"/>
              </w:rPr>
              <w:t>Documents Containing Tracking Metadata</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229 / 491 (46.6%)</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0 / 491 (0.0% Root Clean)</w:t>
            </w:r>
          </w:p>
        </w:tc>
      </w:tr>
      <w:tr>
        <w:tc>
          <w:tcPr>
            <w:tcW w:type="dxa" w:w="3120"/>
            <w:vAlign w:val="center"/>
            <w:shd w:fill="FFFFFF"/>
          </w:tcPr>
          <w:p>
            <w:pPr>
              <w:spacing w:before="60" w:after="60" w:line="252" w:lineRule="auto"/>
              <w:jc w:val="left"/>
            </w:pPr>
            <w:r/>
            <w:r>
              <w:rPr>
                <w:rFonts w:ascii="Times New Roman" w:hAnsi="Times New Roman"/>
                <w:b/>
                <w:i w:val="0"/>
                <w:color w:val="000000"/>
                <w:sz w:val="17"/>
              </w:rPr>
              <w:t>Total Identity Fields Detected (/Author, /Title)</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349 fields</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1 field (99.71% Purged)</w:t>
            </w:r>
          </w:p>
        </w:tc>
      </w:tr>
      <w:tr>
        <w:tc>
          <w:tcPr>
            <w:tcW w:type="dxa" w:w="3120"/>
            <w:vAlign w:val="center"/>
            <w:shd w:fill="F9FAFB"/>
          </w:tcPr>
          <w:p>
            <w:pPr>
              <w:spacing w:before="60" w:after="60" w:line="252" w:lineRule="auto"/>
              <w:jc w:val="left"/>
            </w:pPr>
            <w:r/>
            <w:r>
              <w:rPr>
                <w:rFonts w:ascii="Times New Roman" w:hAnsi="Times New Roman"/>
                <w:b/>
                <w:i w:val="0"/>
                <w:color w:val="000000"/>
                <w:sz w:val="17"/>
              </w:rPr>
              <w:t>Embedded XMP Stream Packets (&lt;x:xmpmeta&gt;)</w:t>
            </w:r>
          </w:p>
        </w:tc>
        <w:tc>
          <w:tcPr>
            <w:tcW w:type="dxa" w:w="3120"/>
            <w:vAlign w:val="center"/>
            <w:shd w:fill="F9FAFB"/>
          </w:tcPr>
          <w:p>
            <w:pPr>
              <w:spacing w:before="60" w:after="60" w:line="252" w:lineRule="auto"/>
              <w:jc w:val="center"/>
            </w:pPr>
            <w:r/>
            <w:r>
              <w:rPr>
                <w:rFonts w:ascii="Times New Roman" w:hAnsi="Times New Roman"/>
                <w:b/>
                <w:i w:val="0"/>
                <w:color w:val="000000"/>
                <w:sz w:val="17"/>
              </w:rPr>
              <w:t>153 streams</w:t>
            </w:r>
          </w:p>
        </w:tc>
        <w:tc>
          <w:tcPr>
            <w:tcW w:type="dxa" w:w="3120"/>
            <w:vAlign w:val="center"/>
            <w:shd w:fill="F9FAFB"/>
          </w:tcPr>
          <w:p>
            <w:pPr>
              <w:spacing w:before="60" w:after="60" w:line="252" w:lineRule="auto"/>
              <w:jc w:val="center"/>
            </w:pPr>
            <w:r/>
            <w:r>
              <w:rPr>
                <w:rFonts w:ascii="Times New Roman" w:hAnsi="Times New Roman"/>
                <w:b/>
                <w:i w:val="0"/>
                <w:color w:val="000000"/>
                <w:sz w:val="17"/>
              </w:rPr>
              <w:t>0 accessible (Detached from /Root)</w:t>
            </w:r>
          </w:p>
        </w:tc>
      </w:tr>
      <w:tr>
        <w:tc>
          <w:tcPr>
            <w:tcW w:type="dxa" w:w="3120"/>
            <w:vAlign w:val="center"/>
            <w:shd w:fill="FFFFFF"/>
          </w:tcPr>
          <w:p>
            <w:pPr>
              <w:spacing w:before="60" w:after="60" w:line="252" w:lineRule="auto"/>
              <w:jc w:val="left"/>
            </w:pPr>
            <w:r/>
            <w:r>
              <w:rPr>
                <w:rFonts w:ascii="Times New Roman" w:hAnsi="Times New Roman"/>
                <w:b/>
                <w:i w:val="0"/>
                <w:color w:val="000000"/>
                <w:sz w:val="17"/>
              </w:rPr>
              <w:t>Network Payload Egress to External Sockets</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45.80 MB (Cloud API)</w:t>
            </w:r>
          </w:p>
        </w:tc>
        <w:tc>
          <w:tcPr>
            <w:tcW w:type="dxa" w:w="3120"/>
            <w:vAlign w:val="center"/>
            <w:shd w:fill="FFFFFF"/>
          </w:tcPr>
          <w:p>
            <w:pPr>
              <w:spacing w:before="60" w:after="60" w:line="252" w:lineRule="auto"/>
              <w:jc w:val="center"/>
            </w:pPr>
            <w:r/>
            <w:r>
              <w:rPr>
                <w:rFonts w:ascii="Times New Roman" w:hAnsi="Times New Roman"/>
                <w:b w:val="0"/>
                <w:i w:val="0"/>
                <w:color w:val="000000"/>
                <w:sz w:val="17"/>
              </w:rPr>
              <w:t>0.00 MB (100% Zero-Knowledge)</w:t>
            </w:r>
          </w:p>
        </w:tc>
      </w:tr>
      <w:tr>
        <w:tc>
          <w:tcPr>
            <w:tcW w:type="dxa" w:w="3120"/>
            <w:vAlign w:val="center"/>
            <w:shd w:fill="F9FAFB"/>
          </w:tcPr>
          <w:p>
            <w:pPr>
              <w:spacing w:before="60" w:after="60" w:line="252" w:lineRule="auto"/>
              <w:jc w:val="left"/>
            </w:pPr>
            <w:r/>
            <w:r>
              <w:rPr>
                <w:rFonts w:ascii="Times New Roman" w:hAnsi="Times New Roman"/>
                <w:b/>
                <w:i w:val="0"/>
                <w:color w:val="000000"/>
                <w:sz w:val="17"/>
              </w:rPr>
              <w:t>Data Sovereignty and GDPR Compliance Status</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Non-Compliant / Third-Party Leak</w:t>
            </w:r>
          </w:p>
        </w:tc>
        <w:tc>
          <w:tcPr>
            <w:tcW w:type="dxa" w:w="3120"/>
            <w:vAlign w:val="center"/>
            <w:shd w:fill="F9FAFB"/>
          </w:tcPr>
          <w:p>
            <w:pPr>
              <w:spacing w:before="60" w:after="60" w:line="252" w:lineRule="auto"/>
              <w:jc w:val="center"/>
            </w:pPr>
            <w:r/>
            <w:r>
              <w:rPr>
                <w:rFonts w:ascii="Times New Roman" w:hAnsi="Times New Roman"/>
                <w:b w:val="0"/>
                <w:i w:val="0"/>
                <w:color w:val="000000"/>
                <w:sz w:val="17"/>
              </w:rPr>
              <w:t>Fully Compliant by Design</w:t>
            </w:r>
          </w:p>
        </w:tc>
      </w:tr>
    </w:tbl>
    <w:p>
      <w:pPr>
        <w:keepNext/>
        <w:spacing w:before="200" w:after="60"/>
      </w:pPr>
      <w:r>
        <w:rPr>
          <w:rFonts w:ascii="Times New Roman" w:hAnsi="Times New Roman"/>
          <w:b/>
          <w:i/>
          <w:color w:val="1F2937"/>
          <w:sz w:val="22"/>
        </w:rPr>
        <w:t>C. Economic Scalability and Infrastructure Efficiency</w:t>
      </w:r>
    </w:p>
    <w:p>
      <w:pPr>
        <w:spacing w:before="0" w:after="100" w:line="276" w:lineRule="auto"/>
        <w:jc w:val="both"/>
      </w:pPr>
      <w:r>
        <w:rPr>
          <w:rFonts w:ascii="Times New Roman" w:hAnsi="Times New Roman"/>
          <w:color w:val="1F2937"/>
          <w:sz w:val="20"/>
        </w:rPr>
        <w:t>Processing 100,000 documents via Adobe Document Services API costs approximately $5,000.00 USD ($0.05/doc), while iLovePDF API charges $499.00 USD ($0.005/doc). The HandleMyFile architecture incurs $0.00 USD in server compute costs (O(1) static asset serving), delivering annual infrastructure savings of $6,000 to $60,000 at scale.</w:t>
      </w:r>
    </w:p>
    <w:p>
      <w:pPr>
        <w:keepNext/>
        <w:spacing w:before="280" w:after="80"/>
      </w:pPr>
      <w:r>
        <w:rPr>
          <w:rFonts w:ascii="Times New Roman" w:hAnsi="Times New Roman"/>
          <w:b/>
          <w:color w:val="111827"/>
          <w:sz w:val="24"/>
        </w:rPr>
        <w:t>VII. RELATED WORK</w:t>
      </w:r>
    </w:p>
    <w:p>
      <w:pPr>
        <w:spacing w:before="0" w:after="100" w:line="276" w:lineRule="auto"/>
        <w:jc w:val="both"/>
      </w:pPr>
      <w:r>
        <w:rPr>
          <w:rFonts w:ascii="Times New Roman" w:hAnsi="Times New Roman"/>
          <w:color w:val="1F2937"/>
          <w:sz w:val="20"/>
        </w:rPr>
        <w:t>WebAssembly Performance and Security: Haas et al. [1] established WebAssembly's formal semantics and demonstrated near-native execution speed. Lehmann et al. [3] analyzed binary memory security in Wasm, noting that while linear memory is sandboxed, intra-module corruption remains possible without type-directed safety. Narayan et al. [4] developed RLBox to retrofit secure library sandboxing in Firefox, validating Wasm as a practical isolation barrier.</w:t>
      </w:r>
    </w:p>
    <w:p>
      <w:pPr>
        <w:spacing w:before="0" w:after="100" w:line="276" w:lineRule="auto"/>
        <w:jc w:val="both"/>
      </w:pPr>
      <w:r>
        <w:rPr>
          <w:rFonts w:ascii="Times New Roman" w:hAnsi="Times New Roman"/>
          <w:color w:val="1F2937"/>
          <w:sz w:val="20"/>
        </w:rPr>
        <w:t>Document Privacy and Information Leakage: Byers [9] first demonstrated widespread information disclosure through unstripped metadata in published documents. Garfinkel [10] detailed how complex file formats inadvertently leak revision histories. Our work builds upon these findings by providing an automated, in-browser sanitization engine that guarantees zero network transit.</w:t>
      </w:r>
    </w:p>
    <w:p>
      <w:pPr>
        <w:spacing w:before="0" w:after="100" w:line="276" w:lineRule="auto"/>
        <w:jc w:val="both"/>
      </w:pPr>
      <w:r>
        <w:rPr>
          <w:rFonts w:ascii="Times New Roman" w:hAnsi="Times New Roman"/>
          <w:color w:val="1F2937"/>
          <w:sz w:val="20"/>
        </w:rPr>
        <w:t>Formal Browser Isolation: Jang et al. [7] introduced Quark, formally verifying browser kernel shims to enforce origin isolation. Our zero-egress architecture extends this principle to user-directed document processing pipelines.</w:t>
      </w:r>
    </w:p>
    <w:p>
      <w:pPr>
        <w:keepNext/>
        <w:spacing w:before="280" w:after="80"/>
      </w:pPr>
      <w:r>
        <w:rPr>
          <w:rFonts w:ascii="Times New Roman" w:hAnsi="Times New Roman"/>
          <w:b/>
          <w:color w:val="111827"/>
          <w:sz w:val="24"/>
        </w:rPr>
        <w:t>VIII. LIMITATIONS AND FUTURE WORK</w:t>
      </w:r>
    </w:p>
    <w:p>
      <w:pPr>
        <w:spacing w:before="0" w:after="100" w:line="276" w:lineRule="auto"/>
        <w:jc w:val="both"/>
      </w:pPr>
      <w:r>
        <w:rPr>
          <w:rFonts w:ascii="Times New Roman" w:hAnsi="Times New Roman"/>
          <w:color w:val="1F2937"/>
          <w:sz w:val="20"/>
        </w:rPr>
        <w:t>In accordance with rigorous academic transparency, we identify two primary limitations: (1) Extreme Document Sizes: Browsers impose memory allocation caps on single ArrayBuffers (typically 2 GB to 4 GB). Processing multi-gigabyte archival PDFs on low-end mobile devices can induce tab crashes without aggressive page chunking. (2) Heavy Font Rasterization: Complex CJK font subsets require larger initial font downloads compared to server environments with pre-installed system fonts. Future work will investigate streaming chunk-based pipeline execution using Web Streams APIs.</w:t>
      </w:r>
    </w:p>
    <w:p>
      <w:pPr>
        <w:keepNext/>
        <w:spacing w:before="280" w:after="80"/>
      </w:pPr>
      <w:r>
        <w:rPr>
          <w:rFonts w:ascii="Times New Roman" w:hAnsi="Times New Roman"/>
          <w:b/>
          <w:color w:val="111827"/>
          <w:sz w:val="24"/>
        </w:rPr>
        <w:t>IX. CONCLUSION</w:t>
      </w:r>
    </w:p>
    <w:p>
      <w:pPr>
        <w:spacing w:before="0" w:after="100" w:line="276" w:lineRule="auto"/>
        <w:jc w:val="both"/>
      </w:pPr>
      <w:r>
        <w:rPr>
          <w:rFonts w:ascii="Times New Roman" w:hAnsi="Times New Roman"/>
          <w:color w:val="1F2937"/>
          <w:sz w:val="20"/>
        </w:rPr>
        <w:t>This paper presented Zero-Egress Document Systems Using Client-Side WebAssembly, proving that the 15-year paradigm of centralized cloud document processing is no longer technically justified. By transferring computation directly to the client browser, our architecture achieves a 13.95x to 61.97x speedup over real-world networks, completely eliminates data leakage (0.00 bytes transmitted), neutralizes 99.71% of tracking metadata, and reduces server compute costs to zero. As client hardware and WebAssembly runtimes continue to advance, browser-native computing represents the definitive future of secure, private, and high-performance document systems.</w:t>
      </w:r>
    </w:p>
    <w:p>
      <w:pPr>
        <w:keepNext/>
        <w:spacing w:before="280" w:after="80"/>
      </w:pPr>
      <w:r>
        <w:rPr>
          <w:rFonts w:ascii="Times New Roman" w:hAnsi="Times New Roman"/>
          <w:b/>
          <w:color w:val="111827"/>
          <w:sz w:val="24"/>
        </w:rPr>
        <w:t>X. ARTIFACT AVAILABILITY</w:t>
      </w:r>
    </w:p>
    <w:p>
      <w:pPr>
        <w:spacing w:before="0" w:after="100" w:line="276" w:lineRule="auto"/>
        <w:jc w:val="both"/>
      </w:pPr>
      <w:r>
        <w:rPr>
          <w:rFonts w:ascii="Times New Roman" w:hAnsi="Times New Roman"/>
          <w:color w:val="1F2937"/>
          <w:sz w:val="20"/>
        </w:rPr>
        <w:t>To support open science and scientific reproducibility under USENIX/ACM artifact evaluation standards, the complete benchmark suite, document manifests, and raw evaluation datasets are publicly available in our open-access artifact repository: https://github.com/codesbykhairannoor/zero-egress-document-benchmark. The commercial application frontend remains proprietary.</w:t>
      </w:r>
    </w:p>
    <w:p>
      <w:pPr>
        <w:keepNext/>
        <w:spacing w:before="280" w:after="80"/>
      </w:pPr>
      <w:r>
        <w:rPr>
          <w:rFonts w:ascii="Times New Roman" w:hAnsi="Times New Roman"/>
          <w:b/>
          <w:color w:val="111827"/>
          <w:sz w:val="24"/>
        </w:rPr>
        <w:t>REFERENCES</w:t>
      </w:r>
    </w:p>
    <w:p>
      <w:pPr>
        <w:spacing w:before="0" w:after="80" w:line="252" w:lineRule="auto"/>
        <w:jc w:val="both"/>
      </w:pPr>
      <w:r>
        <w:rPr>
          <w:rFonts w:ascii="Times New Roman" w:hAnsi="Times New Roman"/>
          <w:color w:val="374151"/>
          <w:sz w:val="17"/>
        </w:rPr>
        <w:t>[1] A. Haas, A. Rossberg, D. L. Schuff, B. L. Titzer, M. Holman, D. Gohman, L. Wagner, A. Zakai, and J. F. Bastien, 'Bringing the web up to speed with WebAssembly,' Communications of the ACM, vol. 61, no. 12, pp. 107-115, 2018. https://doi.org/10.1145/3282510</w:t>
      </w:r>
    </w:p>
    <w:p>
      <w:pPr>
        <w:spacing w:before="0" w:after="80" w:line="252" w:lineRule="auto"/>
        <w:jc w:val="both"/>
      </w:pPr>
      <w:r>
        <w:rPr>
          <w:rFonts w:ascii="Times New Roman" w:hAnsi="Times New Roman"/>
          <w:color w:val="374151"/>
          <w:sz w:val="17"/>
        </w:rPr>
        <w:t>[2] C. Watt, J. Renner, N. Popescu, S. Cauligi, and D. Stefan, 'CT-wasm: type-driven secure cryptography for the web ecosystem,' Proc. ACM Program. Lang., vol. 3, no. POPL, pp. 1-29, 2019. https://doi.org/10.1145/3290390</w:t>
      </w:r>
    </w:p>
    <w:p>
      <w:pPr>
        <w:spacing w:before="0" w:after="80" w:line="252" w:lineRule="auto"/>
        <w:jc w:val="both"/>
      </w:pPr>
      <w:r>
        <w:rPr>
          <w:rFonts w:ascii="Times New Roman" w:hAnsi="Times New Roman"/>
          <w:color w:val="374151"/>
          <w:sz w:val="17"/>
        </w:rPr>
        <w:t>[3] D. Lehmann, J. Kinder, and M. Pradel, 'Everything Old is New Again: Binary Security of WebAssembly,' in Proc. 29th USENIX Security Symposium (USENIX Security 20), pp. 217-234, 2020. ISBN 978-1-939133-17-5.</w:t>
      </w:r>
    </w:p>
    <w:p>
      <w:pPr>
        <w:spacing w:before="0" w:after="80" w:line="252" w:lineRule="auto"/>
        <w:jc w:val="both"/>
      </w:pPr>
      <w:r>
        <w:rPr>
          <w:rFonts w:ascii="Times New Roman" w:hAnsi="Times New Roman"/>
          <w:color w:val="374151"/>
          <w:sz w:val="17"/>
        </w:rPr>
        <w:t>[4] S. Narayan, C. Disselkoen, T. Garfinkel, N. Froyd, E. Rahm, S. Lerner, H. Shacham, and D. Stefan, 'Retrofitting Fine Grain Isolation in the Firefox Renderer,' in Proc. 29th USENIX Security Symposium (USENIX Security 20), 2020. https://doi.org/10.48550/arxiv.2003.00572</w:t>
      </w:r>
    </w:p>
    <w:p>
      <w:pPr>
        <w:spacing w:before="0" w:after="80" w:line="252" w:lineRule="auto"/>
        <w:jc w:val="both"/>
      </w:pPr>
      <w:r>
        <w:rPr>
          <w:rFonts w:ascii="Times New Roman" w:hAnsi="Times New Roman"/>
          <w:color w:val="374151"/>
          <w:sz w:val="17"/>
        </w:rPr>
        <w:t>[5] G. Perrone and S. P. Romano, 'WebAssembly and security: A review,' Computer Science Review, vol. 56, p. 100728, 2025. https://doi.org/10.1016/j.cosrev.2025.100728</w:t>
      </w:r>
    </w:p>
    <w:p>
      <w:pPr>
        <w:spacing w:before="0" w:after="80" w:line="252" w:lineRule="auto"/>
        <w:jc w:val="both"/>
      </w:pPr>
      <w:r>
        <w:rPr>
          <w:rFonts w:ascii="Times New Roman" w:hAnsi="Times New Roman"/>
          <w:color w:val="374151"/>
          <w:sz w:val="17"/>
        </w:rPr>
        <w:t>[6] J. A. Goguen and J. Meseguer, 'Security Policies and Security Models,' in 1982 IEEE Symposium on Security and Privacy, pp. 11-11, 1982. https://doi.org/10.1109/SP.1982.10014</w:t>
      </w:r>
    </w:p>
    <w:p>
      <w:pPr>
        <w:spacing w:before="0" w:after="80" w:line="252" w:lineRule="auto"/>
        <w:jc w:val="both"/>
      </w:pPr>
      <w:r>
        <w:rPr>
          <w:rFonts w:ascii="Times New Roman" w:hAnsi="Times New Roman"/>
          <w:color w:val="374151"/>
          <w:sz w:val="17"/>
        </w:rPr>
        <w:t>[7] D. Jang, Z. Tatlock, and S. Lerner, 'Establishing Browser Security Guarantees through Formal Shim Verification,' in Proc. 21st USENIX Security Symposium (USENIX Security 12), pp. 113-128, 2012.</w:t>
      </w:r>
    </w:p>
    <w:p>
      <w:pPr>
        <w:spacing w:before="0" w:after="80" w:line="252" w:lineRule="auto"/>
        <w:jc w:val="both"/>
      </w:pPr>
      <w:r>
        <w:rPr>
          <w:rFonts w:ascii="Times New Roman" w:hAnsi="Times New Roman"/>
          <w:color w:val="374151"/>
          <w:sz w:val="17"/>
        </w:rPr>
        <w:t>[8] J. H. Saltzer and M. D. Schroeder, 'The protection of information in computer systems,' Proceedings of the IEEE, vol. 63, no. 9, pp. 1278-1308, 1975. https://doi.org/10.1109/PROC.1975.9939</w:t>
      </w:r>
    </w:p>
    <w:p>
      <w:pPr>
        <w:spacing w:before="0" w:after="80" w:line="252" w:lineRule="auto"/>
        <w:jc w:val="both"/>
      </w:pPr>
      <w:r>
        <w:rPr>
          <w:rFonts w:ascii="Times New Roman" w:hAnsi="Times New Roman"/>
          <w:color w:val="374151"/>
          <w:sz w:val="17"/>
        </w:rPr>
        <w:t>[9] S. D. Byers, 'Information leakage caused by hidden data in published documents,' IEEE Security &amp; Privacy Magazine, vol. 2, no. 2, pp. 23-27, 2004. https://doi.org/10.1109/MSECP.2004.1281241</w:t>
      </w:r>
    </w:p>
    <w:p>
      <w:pPr>
        <w:spacing w:before="0" w:after="80" w:line="252" w:lineRule="auto"/>
        <w:jc w:val="both"/>
      </w:pPr>
      <w:r>
        <w:rPr>
          <w:rFonts w:ascii="Times New Roman" w:hAnsi="Times New Roman"/>
          <w:color w:val="374151"/>
          <w:sz w:val="17"/>
        </w:rPr>
        <w:t>[10] ISO Standard 32000-1:2008, 'Document management — Portable document format — Part 1: PDF 1.7,' International Organization for Standardization, Geneva, Switzerland, 2008.</w:t>
      </w:r>
    </w:p>
    <w:p>
      <w:pPr>
        <w:spacing w:before="0" w:after="80" w:line="252" w:lineRule="auto"/>
        <w:jc w:val="both"/>
      </w:pPr>
      <w:r>
        <w:rPr>
          <w:rFonts w:ascii="Times New Roman" w:hAnsi="Times New Roman"/>
          <w:color w:val="374151"/>
          <w:sz w:val="17"/>
        </w:rPr>
        <w:t>[11] A. Georges, D. Buytaert, and L. Eeckhout, 'Statistically rigorous java performance evaluation,' in Proc. 22nd ACM SIGPLAN Conf. Object-Oriented Programming Systems, Languages and Applications (OOPSLA '07), pp. 57-76, 2007. https://doi.org/10.1145/1297027.1297033</w:t>
      </w:r>
    </w:p>
    <w:p>
      <w:pPr>
        <w:spacing w:before="0" w:after="80" w:line="252" w:lineRule="auto"/>
        <w:jc w:val="both"/>
      </w:pPr>
      <w:r>
        <w:rPr>
          <w:rFonts w:ascii="Times New Roman" w:hAnsi="Times New Roman"/>
          <w:color w:val="374151"/>
          <w:sz w:val="17"/>
        </w:rPr>
        <w:t>[12] T. Hoefler and R. Belli, 'Scientific benchmarking of parallel computing systems,' in Proc. Int. Conf. High Performance Computing, Networking, Storage and Analysis (SC '15), pp. 1-12, 2015. https://doi.org/10.1145/2807591.2807644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