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02C57"/>
          <w:sz w:val="34"/>
        </w:rPr>
        <w:t>End-to-End Machine Learning Versioning and Pipeline Orchestration Using Git, DVC, and Cloud Remote Storage</w:t>
      </w:r>
    </w:p>
    <w:p>
      <w:pPr>
        <w:spacing w:after="240"/>
        <w:jc w:val="center"/>
      </w:pPr>
      <w:r>
        <w:rPr>
          <w:rFonts w:ascii="Times New Roman" w:hAnsi="Times New Roman"/>
          <w:i/>
          <w:color w:val="464646"/>
          <w:sz w:val="22"/>
        </w:rPr>
        <w:t>Course Assignment 3 Technical Report | Machine Learning Operations (MLOps)</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Pr>
          <w:p>
            <w:pPr>
              <w:jc w:val="center"/>
            </w:pPr>
            <w:r>
              <w:rPr>
                <w:b/>
                <w:color w:val="102C57"/>
                <w:sz w:val="23"/>
              </w:rPr>
              <w:t>Muhammad Musab (Roll No: 23L-0806)</w:t>
              <w:br/>
            </w:r>
            <w:r>
              <w:rPr>
                <w:sz w:val="20"/>
              </w:rPr>
              <w:t>Department of Computer Science, FAST-NUCES Lahore, Pakistan</w:t>
              <w:br/>
            </w:r>
            <w:r>
              <w:rPr>
                <w:i/>
                <w:sz w:val="19"/>
              </w:rPr>
              <w:t>Institutional Email: l230806@lhr.nu.edu.pk | GitHub Remote: codesbymusab/fashion-ann-pipeline</w:t>
            </w:r>
          </w:p>
        </w:tc>
      </w:tr>
    </w:tbl>
    <w:p>
      <w:pPr>
        <w:spacing w:after="120"/>
      </w:pP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Pr>
          <w:p>
            <w:r>
              <w:rPr>
                <w:b/>
                <w:color w:val="102C57"/>
                <w:sz w:val="20"/>
              </w:rPr>
              <w:t>Abstract—</w:t>
            </w:r>
            <w:r>
              <w:rPr>
                <w:sz w:val="19"/>
              </w:rPr>
              <w:t>Production machine learning workflows present dual versioning requirements: lightweight source code must remain trackable in a distributed version control system, while multi-megabyte data arrays and trained neural network binaries must be managed through content-addressable storage without bloat. This report presents the full implementation of an end-to-end MLOps pipeline on the Fashion-MNIST benchmark utilizing Git for source versioning, Data Version Control (DVC) for artifact tracking, and Google Drive as the remote object store. We evaluate advanced Git operations including stash lifecycles, atomic renames, non-fast-forward hotfix integration, and rebase linearization. Subsequently, we construct a 4-stage modular pipeline governed by params.yaml and dvc.yaml, establishing automated reproducibility and intelligent stage-skipping across parameter variations (dense units: 128 vs 256). Finally, we simulate a distributed team collaboration scenario, demonstrating the concurrent emergence of a textual code conflict in data preprocessing and a hash collision in dvc.lock, followed by a formal authoritative reconciliation methodology. All results, metrics diffs, and verification audits are documented.</w:t>
            </w:r>
          </w:p>
        </w:tc>
      </w:tr>
    </w:tbl>
    <w:p>
      <w:pPr>
        <w:spacing w:after="200"/>
      </w:pPr>
    </w:p>
    <w:p>
      <w:pPr>
        <w:keepNext/>
        <w:spacing w:before="280" w:after="80"/>
      </w:pPr>
      <w:r>
        <w:rPr>
          <w:rFonts w:ascii="Times New Roman" w:hAnsi="Times New Roman"/>
          <w:b/>
          <w:color w:val="102C57"/>
          <w:sz w:val="26"/>
        </w:rPr>
        <w:t>1. Introduction &amp; Theoretical Background</w:t>
      </w:r>
    </w:p>
    <w:p>
      <w:r>
        <w:t>Machine Learning Operations (MLOps) addresses the fundamental friction between standard software versioning and data science experimentation. Traditional source code version control (e.g., Git) is designed for delta-compression of UTF-8 text. Tracking large, opaque binary artifacts—such as raw dataset matrices, preprocessed tensors, and serialized model weights—directly in Git repositories causes exponential repository bloat, degrades cloning bandwidth, and makes historical traversal impractical.</w:t>
      </w:r>
    </w:p>
    <w:p>
      <w:r>
        <w:t>Data Version Control (DVC) solves this architectural challenge by introducing lightweight pointer files (content-addressable md5 hashes) into Git, while delegating the underlying payloads to remote cloud storage. In this assignment, we implement a production-grade pipeline for the Fashion-MNIST classification benchmark, examining the complete lifecycle from repository initialization to multi-developer merge conflict resolution.</w:t>
      </w:r>
    </w:p>
    <w:p>
      <w:pPr>
        <w:keepNext/>
        <w:spacing w:before="280" w:after="80"/>
      </w:pPr>
      <w:r>
        <w:rPr>
          <w:rFonts w:ascii="Times New Roman" w:hAnsi="Times New Roman"/>
          <w:b/>
          <w:color w:val="102C57"/>
          <w:sz w:val="26"/>
        </w:rPr>
        <w:t>2. Part A: Advanced Git Operations &amp; Workflow Mechanics</w:t>
      </w:r>
    </w:p>
    <w:p>
      <w:r>
        <w:t>Part A focuses on rigorous version control hygiene, branch topology management, and defensive repository operations across tasks A1 through A8.</w:t>
      </w:r>
    </w:p>
    <w:p>
      <w:pPr>
        <w:keepNext/>
        <w:spacing w:before="200" w:after="60"/>
      </w:pPr>
      <w:r>
        <w:rPr>
          <w:rFonts w:ascii="Times New Roman" w:hAnsi="Times New Roman"/>
          <w:b/>
          <w:color w:val="285082"/>
          <w:sz w:val="23"/>
        </w:rPr>
        <w:t>2.1 Repository Setup and Initial Branching (Tasks A1 &amp; A2)</w:t>
      </w:r>
    </w:p>
    <w:p>
      <w:r>
        <w:t>The repository was initialized locally on the main branch. A deliberate typo ('# Fashion-MNIST ANN Pipelnie') was introduced in README.md to simulate an upstream production defect for subsequent hotfixing. A strict .gitignore was authored to ensure Python virtual environments, compiled bytecode, and HDF5 weight files (*.h5) are excluded from direct Git tracking. An initial commit was recorded, remote origin was bound to GitHub, and the dev branch was established for staging iterative script development across six distinct commits.</w:t>
      </w:r>
    </w:p>
    <w:p>
      <w:pPr>
        <w:keepNext/>
        <w:spacing w:before="200" w:after="60"/>
      </w:pPr>
      <w:r>
        <w:rPr>
          <w:rFonts w:ascii="Times New Roman" w:hAnsi="Times New Roman"/>
          <w:b/>
          <w:color w:val="285082"/>
          <w:sz w:val="23"/>
        </w:rPr>
        <w:t>2.2 Commit Log Topology Analysis (Task A3)</w:t>
      </w:r>
    </w:p>
    <w:p>
      <w:r>
        <w:t>Commit history inspection provides insight into branching topology and code evolution. Four complementary log variants were evaluated as shown in Figure 1.</w:t>
      </w:r>
    </w:p>
    <w:p>
      <w:pPr>
        <w:spacing w:before="120" w:after="40"/>
        <w:jc w:val="center"/>
      </w:pPr>
      <w:r>
        <w:drawing>
          <wp:inline xmlns:a="http://schemas.openxmlformats.org/drawingml/2006/main" xmlns:pic="http://schemas.openxmlformats.org/drawingml/2006/picture">
            <wp:extent cx="5669280" cy="3377697"/>
            <wp:docPr id="1" name="Picture 1"/>
            <wp:cNvGraphicFramePr>
              <a:graphicFrameLocks noChangeAspect="1"/>
            </wp:cNvGraphicFramePr>
            <a:graphic>
              <a:graphicData uri="http://schemas.openxmlformats.org/drawingml/2006/picture">
                <pic:pic>
                  <pic:nvPicPr>
                    <pic:cNvPr id="0" name="A3_git_log_variants.png"/>
                    <pic:cNvPicPr/>
                  </pic:nvPicPr>
                  <pic:blipFill>
                    <a:blip r:embed="rId11"/>
                    <a:stretch>
                      <a:fillRect/>
                    </a:stretch>
                  </pic:blipFill>
                  <pic:spPr>
                    <a:xfrm>
                      <a:off x="0" y="0"/>
                      <a:ext cx="5669280" cy="3377697"/>
                    </a:xfrm>
                    <a:prstGeom prst="rect"/>
                  </pic:spPr>
                </pic:pic>
              </a:graphicData>
            </a:graphic>
          </wp:inline>
        </w:drawing>
      </w:r>
    </w:p>
    <w:p>
      <w:pPr>
        <w:spacing w:after="160"/>
        <w:jc w:val="center"/>
      </w:pPr>
      <w:r>
        <w:rPr>
          <w:rFonts w:ascii="Times New Roman" w:hAnsi="Times New Roman"/>
          <w:i/>
          <w:color w:val="5A5A5A"/>
          <w:sz w:val="18"/>
        </w:rPr>
        <w:t>Figure 1: Git commit history graph (--graph --all) and unmerged commit filtering (main..dev).</w:t>
      </w:r>
    </w:p>
    <w:tbl>
      <w:tblPr>
        <w:tblW w:type="auto" w:w="0"/>
        <w:jc w:val="center"/>
        <w:tblLook w:firstColumn="1" w:firstRow="1" w:lastColumn="0" w:lastRow="0" w:noHBand="0" w:noVBand="1" w:val="04A0"/>
      </w:tblPr>
      <w:tblGrid>
        <w:gridCol w:w="4680"/>
        <w:gridCol w:w="4680"/>
      </w:tblGrid>
      <w:tr>
        <w:tc>
          <w:tcPr>
            <w:tcW w:type="dxa" w:w="4680"/>
            <w:shd w:fill="EAECEF"/>
            <w:tcMar>
              <w:top w:w="80" w:type="dxa"/>
              <w:bottom w:w="80" w:type="dxa"/>
              <w:left w:w="100" w:type="dxa"/>
              <w:right w:w="100" w:type="dxa"/>
            </w:tcMar>
          </w:tcPr>
          <w:p>
            <w:r>
              <w:rPr>
                <w:b/>
                <w:sz w:val="19"/>
              </w:rPr>
              <w:t>Command</w:t>
            </w:r>
          </w:p>
        </w:tc>
        <w:tc>
          <w:tcPr>
            <w:tcW w:type="dxa" w:w="4680"/>
            <w:shd w:fill="EAECEF"/>
            <w:tcMar>
              <w:top w:w="80" w:type="dxa"/>
              <w:bottom w:w="80" w:type="dxa"/>
              <w:left w:w="100" w:type="dxa"/>
              <w:right w:w="100" w:type="dxa"/>
            </w:tcMar>
          </w:tcPr>
          <w:p>
            <w:r>
              <w:rPr>
                <w:b/>
                <w:sz w:val="19"/>
              </w:rPr>
              <w:t>Analytical Significance &amp; Architectural Purpose</w:t>
            </w:r>
          </w:p>
        </w:tc>
      </w:tr>
      <w:tr>
        <w:tc>
          <w:tcPr>
            <w:tcW w:type="dxa" w:w="4680"/>
            <w:tcMar>
              <w:top w:w="60" w:type="dxa"/>
              <w:bottom w:w="60" w:type="dxa"/>
              <w:left w:w="80" w:type="dxa"/>
              <w:right w:w="80" w:type="dxa"/>
            </w:tcMar>
          </w:tcPr>
          <w:p>
            <w:r>
              <w:rPr>
                <w:rFonts w:ascii="Consolas" w:hAnsi="Consolas"/>
                <w:sz w:val="17"/>
              </w:rPr>
              <w:t>git log --oneline --graph --all</w:t>
            </w:r>
          </w:p>
        </w:tc>
        <w:tc>
          <w:tcPr>
            <w:tcW w:type="dxa" w:w="4680"/>
            <w:tcMar>
              <w:top w:w="60" w:type="dxa"/>
              <w:bottom w:w="60" w:type="dxa"/>
              <w:left w:w="80" w:type="dxa"/>
              <w:right w:w="80" w:type="dxa"/>
            </w:tcMar>
          </w:tcPr>
          <w:p>
            <w:r>
              <w:rPr>
                <w:sz w:val="18"/>
              </w:rPr>
              <w:t>Visualizes the full multi-branch topology, depicting divergence points, active branch pointers, and merge nodes across all local and remote references.</w:t>
            </w:r>
          </w:p>
        </w:tc>
      </w:tr>
      <w:tr>
        <w:tc>
          <w:tcPr>
            <w:tcW w:type="dxa" w:w="4680"/>
            <w:tcMar>
              <w:top w:w="60" w:type="dxa"/>
              <w:bottom w:w="60" w:type="dxa"/>
              <w:left w:w="80" w:type="dxa"/>
              <w:right w:w="80" w:type="dxa"/>
            </w:tcMar>
          </w:tcPr>
          <w:p>
            <w:r>
              <w:rPr>
                <w:rFonts w:ascii="Consolas" w:hAnsi="Consolas"/>
                <w:sz w:val="17"/>
              </w:rPr>
              <w:t>git log --stat -3</w:t>
            </w:r>
          </w:p>
        </w:tc>
        <w:tc>
          <w:tcPr>
            <w:tcW w:type="dxa" w:w="4680"/>
            <w:tcMar>
              <w:top w:w="60" w:type="dxa"/>
              <w:bottom w:w="60" w:type="dxa"/>
              <w:left w:w="80" w:type="dxa"/>
              <w:right w:w="80" w:type="dxa"/>
            </w:tcMar>
          </w:tcPr>
          <w:p>
            <w:r>
              <w:rPr>
                <w:sz w:val="18"/>
              </w:rPr>
              <w:t>Provides high-level churn metrics per commit (files modified, insertions, deletions) without cluttering the output with full syntactic diffs.</w:t>
            </w:r>
          </w:p>
        </w:tc>
      </w:tr>
      <w:tr>
        <w:tc>
          <w:tcPr>
            <w:tcW w:type="dxa" w:w="4680"/>
            <w:tcMar>
              <w:top w:w="60" w:type="dxa"/>
              <w:bottom w:w="60" w:type="dxa"/>
              <w:left w:w="80" w:type="dxa"/>
              <w:right w:w="80" w:type="dxa"/>
            </w:tcMar>
          </w:tcPr>
          <w:p>
            <w:r>
              <w:rPr>
                <w:rFonts w:ascii="Consolas" w:hAnsi="Consolas"/>
                <w:sz w:val="17"/>
              </w:rPr>
              <w:t>git log -p -1</w:t>
            </w:r>
          </w:p>
        </w:tc>
        <w:tc>
          <w:tcPr>
            <w:tcW w:type="dxa" w:w="4680"/>
            <w:tcMar>
              <w:top w:w="60" w:type="dxa"/>
              <w:bottom w:w="60" w:type="dxa"/>
              <w:left w:w="80" w:type="dxa"/>
              <w:right w:w="80" w:type="dxa"/>
            </w:tcMar>
          </w:tcPr>
          <w:p>
            <w:r>
              <w:rPr>
                <w:sz w:val="18"/>
              </w:rPr>
              <w:t>Generates the complete line-by-line patch delta for the head commit, essential for granular code reviews and debugging subtle regressions.</w:t>
            </w:r>
          </w:p>
        </w:tc>
      </w:tr>
      <w:tr>
        <w:tc>
          <w:tcPr>
            <w:tcW w:type="dxa" w:w="4680"/>
            <w:tcMar>
              <w:top w:w="60" w:type="dxa"/>
              <w:bottom w:w="60" w:type="dxa"/>
              <w:left w:w="80" w:type="dxa"/>
              <w:right w:w="80" w:type="dxa"/>
            </w:tcMar>
          </w:tcPr>
          <w:p>
            <w:r>
              <w:rPr>
                <w:rFonts w:ascii="Consolas" w:hAnsi="Consolas"/>
                <w:sz w:val="17"/>
              </w:rPr>
              <w:t>git log main..dev</w:t>
            </w:r>
          </w:p>
        </w:tc>
        <w:tc>
          <w:tcPr>
            <w:tcW w:type="dxa" w:w="4680"/>
            <w:tcMar>
              <w:top w:w="60" w:type="dxa"/>
              <w:bottom w:w="60" w:type="dxa"/>
              <w:left w:w="80" w:type="dxa"/>
              <w:right w:w="80" w:type="dxa"/>
            </w:tcMar>
          </w:tcPr>
          <w:p>
            <w:r>
              <w:rPr>
                <w:sz w:val="18"/>
              </w:rPr>
              <w:t>Isolates only unmerged commits reachable from dev that have not yet been integrated into main, serving as a pre-merge inspection gate.</w:t>
            </w:r>
          </w:p>
        </w:tc>
      </w:tr>
    </w:tbl>
    <w:p>
      <w:pPr>
        <w:spacing w:after="120"/>
      </w:pPr>
    </w:p>
    <w:p>
      <w:pPr>
        <w:keepNext/>
        <w:spacing w:before="200" w:after="60"/>
      </w:pPr>
      <w:r>
        <w:rPr>
          <w:rFonts w:ascii="Times New Roman" w:hAnsi="Times New Roman"/>
          <w:b/>
          <w:color w:val="285082"/>
          <w:sz w:val="23"/>
        </w:rPr>
        <w:t>2.3 Differential Code Analysis: Two-Dot vs. Three-Dot Syntax (Task A4)</w:t>
      </w:r>
    </w:p>
    <w:p>
      <w:r>
        <w:t>To inspect changes across staging levels and branch tips, differential analysis commands were executed (Figure 2). A critical distinction exists between two-dot and three-dot branch comparisons:</w:t>
      </w:r>
    </w:p>
    <w:p>
      <w:pPr>
        <w:ind w:left="360"/>
      </w:pPr>
      <w:r>
        <w:rPr>
          <w:b/>
        </w:rPr>
        <w:t xml:space="preserve">1. Two-Dot Comparison (git diff main..dev): </w:t>
      </w:r>
      <w:r>
        <w:t>This compares the exact tips of both branches. It displays all net differences, meaning any commit present exclusively on main (such as an independent hotfix) will appear as a reverse/negative deletion in dev's context.</w:t>
      </w:r>
    </w:p>
    <w:p>
      <w:pPr>
        <w:ind w:left="360"/>
      </w:pPr>
      <w:r>
        <w:rPr>
          <w:b/>
        </w:rPr>
        <w:t xml:space="preserve">2. Three-Dot Comparison (git diff main...dev): </w:t>
      </w:r>
      <w:r>
        <w:t>This computes the symmetric merge-base (the most recent common ancestor commit) and compares dev strictly against that ancestor. It isolates exclusively the work authored on dev, filtering out all concurrent divergence on main.</w:t>
      </w:r>
    </w:p>
    <w:p>
      <w:pPr>
        <w:spacing w:before="120" w:after="40"/>
        <w:jc w:val="center"/>
      </w:pPr>
      <w:r>
        <w:drawing>
          <wp:inline xmlns:a="http://schemas.openxmlformats.org/drawingml/2006/main" xmlns:pic="http://schemas.openxmlformats.org/drawingml/2006/picture">
            <wp:extent cx="5669280" cy="3503018"/>
            <wp:docPr id="2" name="Picture 2"/>
            <wp:cNvGraphicFramePr>
              <a:graphicFrameLocks noChangeAspect="1"/>
            </wp:cNvGraphicFramePr>
            <a:graphic>
              <a:graphicData uri="http://schemas.openxmlformats.org/drawingml/2006/picture">
                <pic:pic>
                  <pic:nvPicPr>
                    <pic:cNvPr id="0" name="A4_git_diff_variants.png"/>
                    <pic:cNvPicPr/>
                  </pic:nvPicPr>
                  <pic:blipFill>
                    <a:blip r:embed="rId12"/>
                    <a:stretch>
                      <a:fillRect/>
                    </a:stretch>
                  </pic:blipFill>
                  <pic:spPr>
                    <a:xfrm>
                      <a:off x="0" y="0"/>
                      <a:ext cx="5669280" cy="3503018"/>
                    </a:xfrm>
                    <a:prstGeom prst="rect"/>
                  </pic:spPr>
                </pic:pic>
              </a:graphicData>
            </a:graphic>
          </wp:inline>
        </w:drawing>
      </w:r>
    </w:p>
    <w:p>
      <w:pPr>
        <w:spacing w:after="160"/>
        <w:jc w:val="center"/>
      </w:pPr>
      <w:r>
        <w:rPr>
          <w:rFonts w:ascii="Times New Roman" w:hAnsi="Times New Roman"/>
          <w:i/>
          <w:color w:val="5A5A5A"/>
          <w:sz w:val="18"/>
        </w:rPr>
        <w:t>Figure 2: Verification of unstaged changes, staged diffs, and relative branch diffs.</w:t>
      </w:r>
    </w:p>
    <w:p>
      <w:pPr>
        <w:keepNext/>
        <w:spacing w:before="200" w:after="60"/>
      </w:pPr>
      <w:r>
        <w:rPr>
          <w:rFonts w:ascii="Times New Roman" w:hAnsi="Times New Roman"/>
          <w:b/>
          <w:color w:val="285082"/>
          <w:sz w:val="23"/>
        </w:rPr>
        <w:t>2.4 Work-in-Progress Isolation via Git Stash (Task A5)</w:t>
      </w:r>
    </w:p>
    <w:p>
      <w:r>
        <w:t>During active development on dev, an uncommitted debug line was added to src/preprocess.py. An immediate attempt to switch branches via git checkout main was halted by Git's index-protection mechanism, which prevents dirty working directories from overwriting untracked or divergent branch files. To circumvent this without creating premature commits, the working state was pushed to the stash stack (git stash push -m 'wip: debug print'). Following checkout to main and return to dev, the state was re-applied and cleared using git stash pop (Figure 3).</w:t>
      </w:r>
    </w:p>
    <w:p>
      <w:pPr>
        <w:spacing w:before="120" w:after="40"/>
        <w:jc w:val="center"/>
      </w:pPr>
      <w:r>
        <w:drawing>
          <wp:inline xmlns:a="http://schemas.openxmlformats.org/drawingml/2006/main" xmlns:pic="http://schemas.openxmlformats.org/drawingml/2006/picture">
            <wp:extent cx="5669280" cy="3503018"/>
            <wp:docPr id="3" name="Picture 3"/>
            <wp:cNvGraphicFramePr>
              <a:graphicFrameLocks noChangeAspect="1"/>
            </wp:cNvGraphicFramePr>
            <a:graphic>
              <a:graphicData uri="http://schemas.openxmlformats.org/drawingml/2006/picture">
                <pic:pic>
                  <pic:nvPicPr>
                    <pic:cNvPr id="0" name="A5_git_stash.png"/>
                    <pic:cNvPicPr/>
                  </pic:nvPicPr>
                  <pic:blipFill>
                    <a:blip r:embed="rId13"/>
                    <a:stretch>
                      <a:fillRect/>
                    </a:stretch>
                  </pic:blipFill>
                  <pic:spPr>
                    <a:xfrm>
                      <a:off x="0" y="0"/>
                      <a:ext cx="5669280" cy="3503018"/>
                    </a:xfrm>
                    <a:prstGeom prst="rect"/>
                  </pic:spPr>
                </pic:pic>
              </a:graphicData>
            </a:graphic>
          </wp:inline>
        </w:drawing>
      </w:r>
    </w:p>
    <w:p>
      <w:pPr>
        <w:spacing w:after="160"/>
        <w:jc w:val="center"/>
      </w:pPr>
      <w:r>
        <w:rPr>
          <w:rFonts w:ascii="Times New Roman" w:hAnsi="Times New Roman"/>
          <w:i/>
          <w:color w:val="5A5A5A"/>
          <w:sz w:val="18"/>
        </w:rPr>
        <w:t>Figure 3: Git stash sequence: checkout rejection, dirty state stashing, and clean stack pop.</w:t>
      </w:r>
    </w:p>
    <w:p>
      <w:pPr>
        <w:keepNext/>
        <w:spacing w:before="200" w:after="60"/>
      </w:pPr>
      <w:r>
        <w:rPr>
          <w:rFonts w:ascii="Times New Roman" w:hAnsi="Times New Roman"/>
          <w:b/>
          <w:color w:val="285082"/>
          <w:sz w:val="23"/>
        </w:rPr>
        <w:t>2.5 Hotfix Branching, Non-Fast-Forward Merge &amp; Rebase Conflict (Task A6)</w:t>
      </w:r>
    </w:p>
    <w:p>
      <w:r>
        <w:t>To remedy the README typo on production, branch hotfix/readme-typo was spawned from main. The correction was committed and integrated into main via a non-fast-forward merge (git merge --no-ff), preserving the explicit branch boundary in graph history. When dev was subsequently rebased onto main, a content conflict halted execution at line 1 of README.md. The conflicting markers were manually inspected, reconciled to retain both the spelling fix and feature addition, staged, and finalized via git rebase --continue, producing a unified linear history (Figure 4).</w:t>
      </w:r>
    </w:p>
    <w:p>
      <w:pPr>
        <w:spacing w:before="120" w:after="40"/>
        <w:jc w:val="center"/>
      </w:pPr>
      <w:r>
        <w:drawing>
          <wp:inline xmlns:a="http://schemas.openxmlformats.org/drawingml/2006/main" xmlns:pic="http://schemas.openxmlformats.org/drawingml/2006/picture">
            <wp:extent cx="5669280" cy="3377697"/>
            <wp:docPr id="4" name="Picture 4"/>
            <wp:cNvGraphicFramePr>
              <a:graphicFrameLocks noChangeAspect="1"/>
            </wp:cNvGraphicFramePr>
            <a:graphic>
              <a:graphicData uri="http://schemas.openxmlformats.org/drawingml/2006/picture">
                <pic:pic>
                  <pic:nvPicPr>
                    <pic:cNvPr id="0" name="A6_rebase_conflict.png"/>
                    <pic:cNvPicPr/>
                  </pic:nvPicPr>
                  <pic:blipFill>
                    <a:blip r:embed="rId14"/>
                    <a:stretch>
                      <a:fillRect/>
                    </a:stretch>
                  </pic:blipFill>
                  <pic:spPr>
                    <a:xfrm>
                      <a:off x="0" y="0"/>
                      <a:ext cx="5669280" cy="3377697"/>
                    </a:xfrm>
                    <a:prstGeom prst="rect"/>
                  </pic:spPr>
                </pic:pic>
              </a:graphicData>
            </a:graphic>
          </wp:inline>
        </w:drawing>
      </w:r>
    </w:p>
    <w:p>
      <w:pPr>
        <w:spacing w:after="160"/>
        <w:jc w:val="center"/>
      </w:pPr>
      <w:r>
        <w:rPr>
          <w:rFonts w:ascii="Times New Roman" w:hAnsi="Times New Roman"/>
          <w:i/>
          <w:color w:val="5A5A5A"/>
          <w:sz w:val="18"/>
        </w:rPr>
        <w:t>Figure 4: Upstream hotfix merge, rebase collision on README.md, and conflict resolution.</w:t>
      </w:r>
    </w:p>
    <w:p>
      <w:pPr>
        <w:keepNext/>
        <w:spacing w:before="200" w:after="60"/>
      </w:pPr>
      <w:r>
        <w:rPr>
          <w:rFonts w:ascii="Times New Roman" w:hAnsi="Times New Roman"/>
          <w:b/>
          <w:color w:val="285082"/>
          <w:sz w:val="23"/>
        </w:rPr>
        <w:t>2.6 Reset Mechanics: Soft vs. Hard Recovery (Task A7)</w:t>
      </w:r>
    </w:p>
    <w:p>
      <w:r>
        <w:t>On an isolated scratch branch, we evaluated the operational difference between soft and hard resets (Figure 5):</w:t>
      </w:r>
    </w:p>
    <w:p>
      <w:pPr>
        <w:ind w:left="360"/>
      </w:pPr>
      <w:r>
        <w:rPr>
          <w:b/>
        </w:rPr>
        <w:t xml:space="preserve">• Soft Reset (git reset --soft HEAD~1): </w:t>
      </w:r>
      <w:r>
        <w:t>Moves the branch HEAD pointer backwards one commit, leaving the staging area (index) and the working tree untouched. All changes remain staged and preserved on disk, allowing commit squash or message amendment.</w:t>
      </w:r>
    </w:p>
    <w:p>
      <w:pPr>
        <w:ind w:left="360"/>
      </w:pPr>
      <w:r>
        <w:rPr>
          <w:b/>
        </w:rPr>
        <w:t xml:space="preserve">• Hard Reset (git reset --hard HEAD~1): </w:t>
      </w:r>
      <w:r>
        <w:t>Moves HEAD backwards while simultaneously synchronizing both the index and working tree to match the target commit. All uncommitted and staged modifications are permanently expunged from the disk.</w:t>
      </w:r>
    </w:p>
    <w:p>
      <w:pPr>
        <w:spacing w:before="120" w:after="40"/>
        <w:jc w:val="center"/>
      </w:pPr>
      <w:r>
        <w:drawing>
          <wp:inline xmlns:a="http://schemas.openxmlformats.org/drawingml/2006/main" xmlns:pic="http://schemas.openxmlformats.org/drawingml/2006/picture">
            <wp:extent cx="5669280" cy="2876414"/>
            <wp:docPr id="5" name="Picture 5"/>
            <wp:cNvGraphicFramePr>
              <a:graphicFrameLocks noChangeAspect="1"/>
            </wp:cNvGraphicFramePr>
            <a:graphic>
              <a:graphicData uri="http://schemas.openxmlformats.org/drawingml/2006/picture">
                <pic:pic>
                  <pic:nvPicPr>
                    <pic:cNvPr id="0" name="A7_git_reset.png"/>
                    <pic:cNvPicPr/>
                  </pic:nvPicPr>
                  <pic:blipFill>
                    <a:blip r:embed="rId15"/>
                    <a:stretch>
                      <a:fillRect/>
                    </a:stretch>
                  </pic:blipFill>
                  <pic:spPr>
                    <a:xfrm>
                      <a:off x="0" y="0"/>
                      <a:ext cx="5669280" cy="2876414"/>
                    </a:xfrm>
                    <a:prstGeom prst="rect"/>
                  </pic:spPr>
                </pic:pic>
              </a:graphicData>
            </a:graphic>
          </wp:inline>
        </w:drawing>
      </w:r>
    </w:p>
    <w:p>
      <w:pPr>
        <w:spacing w:after="160"/>
        <w:jc w:val="center"/>
      </w:pPr>
      <w:r>
        <w:rPr>
          <w:rFonts w:ascii="Times New Roman" w:hAnsi="Times New Roman"/>
          <w:i/>
          <w:color w:val="5A5A5A"/>
          <w:sz w:val="18"/>
        </w:rPr>
        <w:t>Figure 5: Empirical observation of soft reset (staged preservation) vs hard reset (disk deletion).</w:t>
      </w:r>
    </w:p>
    <w:p>
      <w:pPr>
        <w:keepNext/>
        <w:spacing w:before="200" w:after="60"/>
      </w:pPr>
      <w:r>
        <w:rPr>
          <w:rFonts w:ascii="Times New Roman" w:hAnsi="Times New Roman"/>
          <w:b/>
          <w:color w:val="285082"/>
          <w:sz w:val="23"/>
        </w:rPr>
        <w:t>2.7 Atomic File Operations and Rename Tracking (Task A8)</w:t>
      </w:r>
    </w:p>
    <w:p>
      <w:r>
        <w:t>To organize loose repository scripts, check_data.py was relocated into src/check_data.py using git mv, while scratch_notes.txt was expunged via git rm. Executing git show --stat -M HEAD verified that Git's internal similarity index detected a 100% rename event rather than treating the file as an unrelated deletion and insertion pair (Figure 6).</w:t>
      </w:r>
    </w:p>
    <w:p>
      <w:pPr>
        <w:spacing w:before="120" w:after="40"/>
        <w:jc w:val="center"/>
      </w:pPr>
      <w:r>
        <w:drawing>
          <wp:inline xmlns:a="http://schemas.openxmlformats.org/drawingml/2006/main" xmlns:pic="http://schemas.openxmlformats.org/drawingml/2006/picture">
            <wp:extent cx="5669280" cy="3127055"/>
            <wp:docPr id="6" name="Picture 6"/>
            <wp:cNvGraphicFramePr>
              <a:graphicFrameLocks noChangeAspect="1"/>
            </wp:cNvGraphicFramePr>
            <a:graphic>
              <a:graphicData uri="http://schemas.openxmlformats.org/drawingml/2006/picture">
                <pic:pic>
                  <pic:nvPicPr>
                    <pic:cNvPr id="0" name="A8_git_mv_rm.png"/>
                    <pic:cNvPicPr/>
                  </pic:nvPicPr>
                  <pic:blipFill>
                    <a:blip r:embed="rId16"/>
                    <a:stretch>
                      <a:fillRect/>
                    </a:stretch>
                  </pic:blipFill>
                  <pic:spPr>
                    <a:xfrm>
                      <a:off x="0" y="0"/>
                      <a:ext cx="5669280" cy="3127055"/>
                    </a:xfrm>
                    <a:prstGeom prst="rect"/>
                  </pic:spPr>
                </pic:pic>
              </a:graphicData>
            </a:graphic>
          </wp:inline>
        </w:drawing>
      </w:r>
    </w:p>
    <w:p>
      <w:pPr>
        <w:spacing w:after="160"/>
        <w:jc w:val="center"/>
      </w:pPr>
      <w:r>
        <w:rPr>
          <w:rFonts w:ascii="Times New Roman" w:hAnsi="Times New Roman"/>
          <w:i/>
          <w:color w:val="5A5A5A"/>
          <w:sz w:val="18"/>
        </w:rPr>
        <w:t>Figure 6: Git tree tracking showing 100% rename detection and clean file removal.</w:t>
      </w:r>
    </w:p>
    <w:p>
      <w:pPr>
        <w:keepNext/>
        <w:spacing w:before="280" w:after="80"/>
      </w:pPr>
      <w:r>
        <w:rPr>
          <w:rFonts w:ascii="Times New Roman" w:hAnsi="Times New Roman"/>
          <w:b/>
          <w:color w:val="102C57"/>
          <w:sz w:val="26"/>
        </w:rPr>
        <w:t>3. Part B: Modular Machine Learning Pipeline Architecture</w:t>
      </w:r>
    </w:p>
    <w:p>
      <w:r>
        <w:t>The project implements a decoupled 4-stage pipeline for Fashion-MNIST image classification (60,000 training images, 10,000 test images across 10 clothing categories). Each component executes as an independent script driven by central configurations:</w:t>
      </w:r>
    </w:p>
    <w:p>
      <w:pPr>
        <w:ind w:left="360"/>
      </w:pPr>
      <w:r>
        <w:rPr>
          <w:b/>
        </w:rPr>
        <w:t xml:space="preserve">1. Stage 1: Ingestion (src/prepare.py): </w:t>
      </w:r>
      <w:r>
        <w:t>Downloads Fashion-MNIST from keras.datasets and writes raw uncompressed arrays (x_train.npy, y_train.npy, x_test.npy, y_test.npy) into data/raw/. Using plain .npy preserves identical byte layouts across invocations to stabilize cryptographic hashing.</w:t>
      </w:r>
    </w:p>
    <w:p>
      <w:pPr>
        <w:ind w:left="360"/>
      </w:pPr>
      <w:r>
        <w:rPr>
          <w:b/>
        </w:rPr>
        <w:t xml:space="preserve">2. Stage 2: Preprocessing (src/preprocess.py): </w:t>
      </w:r>
      <w:r>
        <w:t>Normalizes uint8 pixels [0, 255] into float32 [0.0, 1.0], executes a 10% stratified train/validation split using params.yaml (test_size=0.1, seed=42), and outputs 6 array files to data/processed/.</w:t>
      </w:r>
    </w:p>
    <w:p>
      <w:pPr>
        <w:ind w:left="360"/>
      </w:pPr>
      <w:r>
        <w:rPr>
          <w:b/>
        </w:rPr>
        <w:t xml:space="preserve">3. Stage 3: Model Construction &amp; Training (src/train.py): </w:t>
      </w:r>
      <w:r>
        <w:t>Builds a sequential Artificial Neural Network (Flatten 28x28 -&gt; Dense(ReLU) -&gt; Dropout(0.2) -&gt; Dense(10, Softmax)). Compiled with Adam optimizer and sparse categorical crossentropy. Logs epoch training history to models/history.csv and serializes weights to models/model.h5.</w:t>
      </w:r>
    </w:p>
    <w:p>
      <w:pPr>
        <w:ind w:left="360"/>
      </w:pPr>
      <w:r>
        <w:rPr>
          <w:b/>
        </w:rPr>
        <w:t xml:space="preserve">4. Stage 4: Evaluation &amp; Reporting (src/evaluate.py): </w:t>
      </w:r>
      <w:r>
        <w:t>Loads models/model.h5, evaluates test loss and accuracy, serializes metrics to metrics.json, and generates confusion_matrix.png using scikit-learn ConfusionMatrixDisplay.</w:t>
      </w:r>
    </w:p>
    <w:p>
      <w:r>
        <w:t>Baseline training achieved convergence within 10 epochs: Training Accuracy: 89.36%, Training Loss: 0.2846, Validation Accuracy: 89.02%, Validation Loss: 0.3064.</w:t>
      </w:r>
    </w:p>
    <w:p>
      <w:pPr>
        <w:keepNext/>
        <w:spacing w:before="280" w:after="80"/>
      </w:pPr>
      <w:r>
        <w:rPr>
          <w:rFonts w:ascii="Times New Roman" w:hAnsi="Times New Roman"/>
          <w:b/>
          <w:color w:val="102C57"/>
          <w:sz w:val="26"/>
        </w:rPr>
        <w:t>4. Part C: DVC Remote Storage Integration with Google Drive</w:t>
      </w:r>
    </w:p>
    <w:p>
      <w:r>
        <w:t>Data Version Control was initialized on the dev branch. A designated remote store named gdrive_storage was configured targeting Google Drive folder ID 1FdsWzNpKhXq4zAcrmCMqHFjtrnoguXLS.</w:t>
      </w:r>
    </w:p>
    <w:p>
      <w:pPr>
        <w:keepNext/>
        <w:spacing w:before="200" w:after="60"/>
      </w:pPr>
      <w:r>
        <w:rPr>
          <w:rFonts w:ascii="Times New Roman" w:hAnsi="Times New Roman"/>
          <w:b/>
          <w:color w:val="285082"/>
          <w:sz w:val="23"/>
        </w:rPr>
        <w:t>4.1 OAuth Security Hardening &amp; Credential Isolation</w:t>
      </w:r>
    </w:p>
    <w:p>
      <w:r>
        <w:t>Public default OAuth credentials bundled with PyDrive2 often encounter Google quota throttling and security blocks. To guarantee enterprise reliability, a custom Google Cloud Project was provisioned, enabling the Google Drive API and registering a Desktop Application OAuth client. Crucially, credentials were split into two security tiers:</w:t>
      </w:r>
    </w:p>
    <w:p>
      <w:pPr>
        <w:ind w:left="360"/>
      </w:pPr>
      <w:r>
        <w:rPr>
          <w:b/>
        </w:rPr>
        <w:t xml:space="preserve">• Public Metadata (.dvc/config): </w:t>
      </w:r>
      <w:r>
        <w:t>Stores the non-sensitive client ID and remote URL, safely committed to Git.</w:t>
        <w:br/>
      </w:r>
      <w:r>
        <w:rPr>
          <w:b/>
        </w:rPr>
        <w:t xml:space="preserve">• Secret Key (.dvc/config.local): </w:t>
      </w:r>
      <w:r>
        <w:t>Stores the sensitive client secret using the --local flag. Verified by git check-ignore -v .dvc/config.local, keeping all secrets strictly isolated from version control.</w:t>
      </w:r>
    </w:p>
    <w:p>
      <w:r>
        <w:t>An automated audit via git ls-files | grep -iE 'cred|token|secret' yielded 0 tracked credentials. Executing dvc push successfully uploaded all 14 artifact files (~275 MB total) to Google Drive in content-addressed hash format (Figure 7).</w:t>
      </w:r>
    </w:p>
    <w:p>
      <w:pPr>
        <w:spacing w:before="120" w:after="40"/>
        <w:jc w:val="center"/>
      </w:pPr>
      <w:r>
        <w:drawing>
          <wp:inline xmlns:a="http://schemas.openxmlformats.org/drawingml/2006/main" xmlns:pic="http://schemas.openxmlformats.org/drawingml/2006/picture">
            <wp:extent cx="5669280" cy="3127055"/>
            <wp:docPr id="7" name="Picture 7"/>
            <wp:cNvGraphicFramePr>
              <a:graphicFrameLocks noChangeAspect="1"/>
            </wp:cNvGraphicFramePr>
            <a:graphic>
              <a:graphicData uri="http://schemas.openxmlformats.org/drawingml/2006/picture">
                <pic:pic>
                  <pic:nvPicPr>
                    <pic:cNvPr id="0" name="BC_dvc_setup_push.png"/>
                    <pic:cNvPicPr/>
                  </pic:nvPicPr>
                  <pic:blipFill>
                    <a:blip r:embed="rId17"/>
                    <a:stretch>
                      <a:fillRect/>
                    </a:stretch>
                  </pic:blipFill>
                  <pic:spPr>
                    <a:xfrm>
                      <a:off x="0" y="0"/>
                      <a:ext cx="5669280" cy="3127055"/>
                    </a:xfrm>
                    <a:prstGeom prst="rect"/>
                  </pic:spPr>
                </pic:pic>
              </a:graphicData>
            </a:graphic>
          </wp:inline>
        </w:drawing>
      </w:r>
    </w:p>
    <w:p>
      <w:pPr>
        <w:spacing w:after="160"/>
        <w:jc w:val="center"/>
      </w:pPr>
      <w:r>
        <w:rPr>
          <w:rFonts w:ascii="Times New Roman" w:hAnsi="Times New Roman"/>
          <w:i/>
          <w:color w:val="5A5A5A"/>
          <w:sz w:val="18"/>
        </w:rPr>
        <w:t>Figure 7: DVC remote configuration, local secret isolation, security audit, and Drive sync.</w:t>
      </w:r>
    </w:p>
    <w:p>
      <w:pPr>
        <w:keepNext/>
        <w:spacing w:before="280" w:after="80"/>
      </w:pPr>
      <w:r>
        <w:rPr>
          <w:rFonts w:ascii="Times New Roman" w:hAnsi="Times New Roman"/>
          <w:b/>
          <w:color w:val="102C57"/>
          <w:sz w:val="26"/>
        </w:rPr>
        <w:t>5. Part D: DVC Pipeline Automation &amp; Hyperparameter Tuning</w:t>
      </w:r>
    </w:p>
    <w:p>
      <w:r>
        <w:t>In Part D, artifact ownership was transitioned from static .dvc tracking files to an executable pipeline defined in dvc.yaml. Stages explicitly define dependencies (deps), output directories (outs), tracked parameters (params), and metrics.</w:t>
      </w:r>
    </w:p>
    <w:p>
      <w:pPr>
        <w:keepNext/>
        <w:spacing w:before="200" w:after="60"/>
      </w:pPr>
      <w:r>
        <w:rPr>
          <w:rFonts w:ascii="Times New Roman" w:hAnsi="Times New Roman"/>
          <w:b/>
          <w:color w:val="285082"/>
          <w:sz w:val="23"/>
        </w:rPr>
        <w:t>5.1 Baseline Execution (Version 1)</w:t>
      </w:r>
    </w:p>
    <w:p>
      <w:r>
        <w:t>Executing dvc repro for the baseline (dense_units: 128) processed the full 4-stage pipeline, establishing the state lock in dvc.lock. Baseline test evaluation yielded: test_accuracy = 0.8666 and test_loss = 0.36053. The state was committed to Git and tagged as v1.</w:t>
      </w:r>
    </w:p>
    <w:p>
      <w:pPr>
        <w:keepNext/>
        <w:spacing w:before="200" w:after="60"/>
      </w:pPr>
      <w:r>
        <w:rPr>
          <w:rFonts w:ascii="Times New Roman" w:hAnsi="Times New Roman"/>
          <w:b/>
          <w:color w:val="285082"/>
          <w:sz w:val="23"/>
        </w:rPr>
        <w:t>5.2 Hyperparameter Variation &amp; Intelligent Stage Skipping (Version 2)</w:t>
      </w:r>
    </w:p>
    <w:p>
      <w:r>
        <w:t>To evaluate pipeline automation, params.yaml was edited: train.dense_units was scaled from 128 to 256. Running dvc status immediately flagged stage train as out-of-date due to modified parameter dependencies. Re-executing dvc repro demonstrated intelligent caching:</w:t>
      </w:r>
    </w:p>
    <w:p>
      <w:pPr>
        <w:ind w:left="360"/>
      </w:pPr>
      <w:r>
        <w:t>• Stage 'prepare': Skipped (inputs and code unchanged).</w:t>
        <w:br/>
      </w:r>
      <w:r>
        <w:t>• Stage 'preprocess': Skipped (raw arrays and preprocess params unchanged).</w:t>
        <w:br/>
      </w:r>
      <w:r>
        <w:t>• Stage 'train': Re-executed (detected modified parameter train.dense_units).</w:t>
        <w:br/>
      </w:r>
      <w:r>
        <w:t>• Stage 'evaluate': Re-executed (triggered by updated models/model.h5 output).</w:t>
      </w:r>
    </w:p>
    <w:p>
      <w:r>
        <w:t>This smart skipping saved considerable computation and eliminated redundant dataset downloads. The v2 experiment was tagged and pushed to remote storage (Figure 8).</w:t>
      </w:r>
    </w:p>
    <w:p>
      <w:pPr>
        <w:spacing w:before="120" w:after="40"/>
        <w:jc w:val="center"/>
      </w:pPr>
      <w:r>
        <w:drawing>
          <wp:inline xmlns:a="http://schemas.openxmlformats.org/drawingml/2006/main" xmlns:pic="http://schemas.openxmlformats.org/drawingml/2006/picture">
            <wp:extent cx="5669280" cy="3628339"/>
            <wp:docPr id="8" name="Picture 8"/>
            <wp:cNvGraphicFramePr>
              <a:graphicFrameLocks noChangeAspect="1"/>
            </wp:cNvGraphicFramePr>
            <a:graphic>
              <a:graphicData uri="http://schemas.openxmlformats.org/drawingml/2006/picture">
                <pic:pic>
                  <pic:nvPicPr>
                    <pic:cNvPr id="0" name="D_dvc_pipeline_v1_v2.png"/>
                    <pic:cNvPicPr/>
                  </pic:nvPicPr>
                  <pic:blipFill>
                    <a:blip r:embed="rId18"/>
                    <a:stretch>
                      <a:fillRect/>
                    </a:stretch>
                  </pic:blipFill>
                  <pic:spPr>
                    <a:xfrm>
                      <a:off x="0" y="0"/>
                      <a:ext cx="5669280" cy="3628339"/>
                    </a:xfrm>
                    <a:prstGeom prst="rect"/>
                  </pic:spPr>
                </pic:pic>
              </a:graphicData>
            </a:graphic>
          </wp:inline>
        </w:drawing>
      </w:r>
    </w:p>
    <w:p>
      <w:pPr>
        <w:spacing w:after="160"/>
        <w:jc w:val="center"/>
      </w:pPr>
      <w:r>
        <w:rPr>
          <w:rFonts w:ascii="Times New Roman" w:hAnsi="Times New Roman"/>
          <w:i/>
          <w:color w:val="5A5A5A"/>
          <w:sz w:val="18"/>
        </w:rPr>
        <w:t>Figure 8: Reproduction of v1 baseline, param diff, selective stage skipping, and metrics comparison.</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F"/>
            <w:tcMar>
              <w:top w:w="80" w:type="dxa"/>
              <w:bottom w:w="80" w:type="dxa"/>
              <w:left w:w="100" w:type="dxa"/>
              <w:right w:w="100" w:type="dxa"/>
            </w:tcMar>
          </w:tcPr>
          <w:p>
            <w:r>
              <w:rPr>
                <w:b/>
                <w:sz w:val="19"/>
              </w:rPr>
              <w:t>Metric / Parameter</w:t>
            </w:r>
          </w:p>
        </w:tc>
        <w:tc>
          <w:tcPr>
            <w:tcW w:type="dxa" w:w="2340"/>
            <w:shd w:fill="EAECEF"/>
            <w:tcMar>
              <w:top w:w="80" w:type="dxa"/>
              <w:bottom w:w="80" w:type="dxa"/>
              <w:left w:w="100" w:type="dxa"/>
              <w:right w:w="100" w:type="dxa"/>
            </w:tcMar>
          </w:tcPr>
          <w:p>
            <w:r>
              <w:rPr>
                <w:b/>
                <w:sz w:val="19"/>
              </w:rPr>
              <w:t>v1 Baseline (128 Units)</w:t>
            </w:r>
          </w:p>
        </w:tc>
        <w:tc>
          <w:tcPr>
            <w:tcW w:type="dxa" w:w="2340"/>
            <w:shd w:fill="EAECEF"/>
            <w:tcMar>
              <w:top w:w="80" w:type="dxa"/>
              <w:bottom w:w="80" w:type="dxa"/>
              <w:left w:w="100" w:type="dxa"/>
              <w:right w:w="100" w:type="dxa"/>
            </w:tcMar>
          </w:tcPr>
          <w:p>
            <w:r>
              <w:rPr>
                <w:b/>
                <w:sz w:val="19"/>
              </w:rPr>
              <w:t>v2 Experiment (256 Units)</w:t>
            </w:r>
          </w:p>
        </w:tc>
        <w:tc>
          <w:tcPr>
            <w:tcW w:type="dxa" w:w="2340"/>
            <w:shd w:fill="EAECEF"/>
            <w:tcMar>
              <w:top w:w="80" w:type="dxa"/>
              <w:bottom w:w="80" w:type="dxa"/>
              <w:left w:w="100" w:type="dxa"/>
              <w:right w:w="100" w:type="dxa"/>
            </w:tcMar>
          </w:tcPr>
          <w:p>
            <w:r>
              <w:rPr>
                <w:b/>
                <w:sz w:val="19"/>
              </w:rPr>
              <w:t>Observed Impact</w:t>
            </w:r>
          </w:p>
        </w:tc>
      </w:tr>
      <w:tr>
        <w:tc>
          <w:tcPr>
            <w:tcW w:type="dxa" w:w="2340"/>
            <w:tcMar>
              <w:top w:w="60" w:type="dxa"/>
              <w:bottom w:w="60" w:type="dxa"/>
              <w:left w:w="80" w:type="dxa"/>
              <w:right w:w="80" w:type="dxa"/>
            </w:tcMar>
          </w:tcPr>
          <w:p>
            <w:r>
              <w:rPr>
                <w:rFonts w:ascii="Consolas" w:hAnsi="Consolas"/>
                <w:sz w:val="18"/>
              </w:rPr>
              <w:t>train.dense_units</w:t>
            </w:r>
          </w:p>
        </w:tc>
        <w:tc>
          <w:tcPr>
            <w:tcW w:type="dxa" w:w="2340"/>
            <w:tcMar>
              <w:top w:w="60" w:type="dxa"/>
              <w:bottom w:w="60" w:type="dxa"/>
              <w:left w:w="80" w:type="dxa"/>
              <w:right w:w="80" w:type="dxa"/>
            </w:tcMar>
          </w:tcPr>
          <w:p>
            <w:r>
              <w:rPr>
                <w:sz w:val="18"/>
              </w:rPr>
              <w:t>128</w:t>
            </w:r>
          </w:p>
        </w:tc>
        <w:tc>
          <w:tcPr>
            <w:tcW w:type="dxa" w:w="2340"/>
            <w:tcMar>
              <w:top w:w="60" w:type="dxa"/>
              <w:bottom w:w="60" w:type="dxa"/>
              <w:left w:w="80" w:type="dxa"/>
              <w:right w:w="80" w:type="dxa"/>
            </w:tcMar>
          </w:tcPr>
          <w:p>
            <w:r>
              <w:rPr>
                <w:sz w:val="18"/>
              </w:rPr>
              <w:t>256</w:t>
            </w:r>
          </w:p>
        </w:tc>
        <w:tc>
          <w:tcPr>
            <w:tcW w:type="dxa" w:w="2340"/>
            <w:tcMar>
              <w:top w:w="60" w:type="dxa"/>
              <w:bottom w:w="60" w:type="dxa"/>
              <w:left w:w="80" w:type="dxa"/>
              <w:right w:w="80" w:type="dxa"/>
            </w:tcMar>
          </w:tcPr>
          <w:p>
            <w:r>
              <w:rPr>
                <w:sz w:val="18"/>
              </w:rPr>
              <w:t>+128 hidden units (2x capacity)</w:t>
            </w:r>
          </w:p>
        </w:tc>
      </w:tr>
      <w:tr>
        <w:tc>
          <w:tcPr>
            <w:tcW w:type="dxa" w:w="2340"/>
            <w:tcMar>
              <w:top w:w="60" w:type="dxa"/>
              <w:bottom w:w="60" w:type="dxa"/>
              <w:left w:w="80" w:type="dxa"/>
              <w:right w:w="80" w:type="dxa"/>
            </w:tcMar>
          </w:tcPr>
          <w:p>
            <w:r>
              <w:rPr>
                <w:rFonts w:ascii="Consolas" w:hAnsi="Consolas"/>
                <w:sz w:val="18"/>
              </w:rPr>
              <w:t>test_accuracy</w:t>
            </w:r>
          </w:p>
        </w:tc>
        <w:tc>
          <w:tcPr>
            <w:tcW w:type="dxa" w:w="2340"/>
            <w:tcMar>
              <w:top w:w="60" w:type="dxa"/>
              <w:bottom w:w="60" w:type="dxa"/>
              <w:left w:w="80" w:type="dxa"/>
              <w:right w:w="80" w:type="dxa"/>
            </w:tcMar>
          </w:tcPr>
          <w:p>
            <w:r>
              <w:rPr>
                <w:sz w:val="18"/>
              </w:rPr>
              <w:t>0.8666 (86.66%)</w:t>
            </w:r>
          </w:p>
        </w:tc>
        <w:tc>
          <w:tcPr>
            <w:tcW w:type="dxa" w:w="2340"/>
            <w:tcMar>
              <w:top w:w="60" w:type="dxa"/>
              <w:bottom w:w="60" w:type="dxa"/>
              <w:left w:w="80" w:type="dxa"/>
              <w:right w:w="80" w:type="dxa"/>
            </w:tcMar>
          </w:tcPr>
          <w:p>
            <w:r>
              <w:rPr>
                <w:sz w:val="18"/>
              </w:rPr>
              <w:t>0.8774 (87.74%)</w:t>
            </w:r>
          </w:p>
        </w:tc>
        <w:tc>
          <w:tcPr>
            <w:tcW w:type="dxa" w:w="2340"/>
            <w:tcMar>
              <w:top w:w="60" w:type="dxa"/>
              <w:bottom w:w="60" w:type="dxa"/>
              <w:left w:w="80" w:type="dxa"/>
              <w:right w:w="80" w:type="dxa"/>
            </w:tcMar>
          </w:tcPr>
          <w:p>
            <w:r>
              <w:rPr>
                <w:sz w:val="18"/>
              </w:rPr>
              <w:t>+0.0108 (+1.08% improvement)</w:t>
            </w:r>
          </w:p>
        </w:tc>
      </w:tr>
      <w:tr>
        <w:tc>
          <w:tcPr>
            <w:tcW w:type="dxa" w:w="2340"/>
            <w:tcMar>
              <w:top w:w="60" w:type="dxa"/>
              <w:bottom w:w="60" w:type="dxa"/>
              <w:left w:w="80" w:type="dxa"/>
              <w:right w:w="80" w:type="dxa"/>
            </w:tcMar>
          </w:tcPr>
          <w:p>
            <w:r>
              <w:rPr>
                <w:rFonts w:ascii="Consolas" w:hAnsi="Consolas"/>
                <w:sz w:val="18"/>
              </w:rPr>
              <w:t>test_loss</w:t>
            </w:r>
          </w:p>
        </w:tc>
        <w:tc>
          <w:tcPr>
            <w:tcW w:type="dxa" w:w="2340"/>
            <w:tcMar>
              <w:top w:w="60" w:type="dxa"/>
              <w:bottom w:w="60" w:type="dxa"/>
              <w:left w:w="80" w:type="dxa"/>
              <w:right w:w="80" w:type="dxa"/>
            </w:tcMar>
          </w:tcPr>
          <w:p>
            <w:r>
              <w:rPr>
                <w:sz w:val="18"/>
              </w:rPr>
              <w:t>0.36053</w:t>
            </w:r>
          </w:p>
        </w:tc>
        <w:tc>
          <w:tcPr>
            <w:tcW w:type="dxa" w:w="2340"/>
            <w:tcMar>
              <w:top w:w="60" w:type="dxa"/>
              <w:bottom w:w="60" w:type="dxa"/>
              <w:left w:w="80" w:type="dxa"/>
              <w:right w:w="80" w:type="dxa"/>
            </w:tcMar>
          </w:tcPr>
          <w:p>
            <w:r>
              <w:rPr>
                <w:sz w:val="18"/>
              </w:rPr>
              <w:t>0.34467</w:t>
            </w:r>
          </w:p>
        </w:tc>
        <w:tc>
          <w:tcPr>
            <w:tcW w:type="dxa" w:w="2340"/>
            <w:tcMar>
              <w:top w:w="60" w:type="dxa"/>
              <w:bottom w:w="60" w:type="dxa"/>
              <w:left w:w="80" w:type="dxa"/>
              <w:right w:w="80" w:type="dxa"/>
            </w:tcMar>
          </w:tcPr>
          <w:p>
            <w:r>
              <w:rPr>
                <w:sz w:val="18"/>
              </w:rPr>
              <w:t>-0.01586 (Improved generalization)</w:t>
            </w:r>
          </w:p>
        </w:tc>
      </w:tr>
    </w:tbl>
    <w:p>
      <w:pPr>
        <w:spacing w:after="120"/>
      </w:pPr>
    </w:p>
    <w:p>
      <w:pPr>
        <w:keepNext/>
        <w:spacing w:before="280" w:after="80"/>
      </w:pPr>
      <w:r>
        <w:rPr>
          <w:rFonts w:ascii="Times New Roman" w:hAnsi="Times New Roman"/>
          <w:b/>
          <w:color w:val="102C57"/>
          <w:sz w:val="26"/>
        </w:rPr>
        <w:t>6. Part E: Multi-Developer Collaboration &amp; Dual Conflict Resolution</w:t>
      </w:r>
    </w:p>
    <w:p>
      <w:r>
        <w:t>A realistic software engineering team scenario was simulated by branching two concurrent contributors from main to investigate preprocessing enhancements.</w:t>
      </w:r>
    </w:p>
    <w:p>
      <w:pPr>
        <w:keepNext/>
        <w:spacing w:before="200" w:after="60"/>
      </w:pPr>
      <w:r>
        <w:rPr>
          <w:rFonts w:ascii="Times New Roman" w:hAnsi="Times New Roman"/>
          <w:b/>
          <w:color w:val="285082"/>
          <w:sz w:val="23"/>
        </w:rPr>
        <w:t>6.1 Divergent Feature Engineering Implementations</w:t>
      </w:r>
    </w:p>
    <w:p>
      <w:pPr>
        <w:ind w:left="360"/>
      </w:pPr>
      <w:r>
        <w:rPr>
          <w:b/>
        </w:rPr>
        <w:t xml:space="preserve">1. Contributor 1 (Branch teammate-sim): </w:t>
      </w:r>
      <w:r>
        <w:t>Implemented full dataset standardization using Fashion-MNIST empirical constants: (x / 255.0 - 0.2860) / 0.3530. Regenerated processed data via dvc repro preprocess, pushed artifacts to Drive, and committed to teammate-sim.</w:t>
      </w:r>
    </w:p>
    <w:p>
      <w:pPr>
        <w:ind w:left="360"/>
      </w:pPr>
      <w:r>
        <w:rPr>
          <w:b/>
        </w:rPr>
        <w:t xml:space="preserve">2. Contributor 2 (Branch main): </w:t>
      </w:r>
      <w:r>
        <w:t>Implemented zero-centered normalization: (x / 255.0) - 0.5. Regenerated processed data via dvc repro preprocess, pushed artifacts to Drive, and committed to main.</w:t>
      </w:r>
    </w:p>
    <w:p>
      <w:pPr>
        <w:keepNext/>
        <w:spacing w:before="200" w:after="60"/>
      </w:pPr>
      <w:r>
        <w:rPr>
          <w:rFonts w:ascii="Times New Roman" w:hAnsi="Times New Roman"/>
          <w:b/>
          <w:color w:val="285082"/>
          <w:sz w:val="23"/>
        </w:rPr>
        <w:t>6.2 Emergence of Dual Code &amp; Data Pointer Conflicts</w:t>
      </w:r>
    </w:p>
    <w:p>
      <w:r>
        <w:t>When attempting git merge teammate-sim into main, Git encountered two simultaneous collisions:</w:t>
        <w:br/>
        <w:t>1. Source Code Conflict (src/preprocess.py): Both branches modified identical lines inside the normalize() function.</w:t>
        <w:br/>
        <w:t>2. Data Pointer Collision (dvc.lock): In a pipeline-driven project, data hashes for data/processed reside within dvc.lock. Since both branches regenerated data from different equations, the md5 directory hashes collided.</w:t>
      </w:r>
    </w:p>
    <w:p>
      <w:pPr>
        <w:keepNext/>
        <w:spacing w:before="200" w:after="60"/>
      </w:pPr>
      <w:r>
        <w:rPr>
          <w:rFonts w:ascii="Times New Roman" w:hAnsi="Times New Roman"/>
          <w:b/>
          <w:color w:val="285082"/>
          <w:sz w:val="23"/>
        </w:rPr>
        <w:t>6.3 Authoritative Reconciliation Workflow</w:t>
      </w:r>
    </w:p>
    <w:p>
      <w:r>
        <w:t>Resolving this required a principled two-stage strategy (Figure 9):</w:t>
        <w:br/>
        <w:t>1. Code Reconciliation: We unified the engineering rationale. Both developers intended zero-centered distribution; standardization is the mathematically superior formulation. We authored a unified normalize() scaling to [0, 1] followed by mean/std standardization.</w:t>
        <w:br/>
        <w:t>2. Data Pointer Clearing &amp; Regeneration: Because the merged code produces a 3rd distinct version of the dataset that neither branch previously created, conflict markers were cleared using git checkout --ours dvc.lock, synced via dvc checkout, and regenerated from source using dvc repro.</w:t>
      </w:r>
    </w:p>
    <w:p>
      <w:r>
        <w:t>The reconciled pipeline executed cleanly: test_accuracy = 0.8715. Running dvc repro immediately afterwards printed 'didn't change, skipping' across all 4 stages, verifying 100% deterministic reproducibility.</w:t>
      </w:r>
    </w:p>
    <w:p>
      <w:pPr>
        <w:spacing w:before="120" w:after="40"/>
        <w:jc w:val="center"/>
      </w:pPr>
      <w:r>
        <w:drawing>
          <wp:inline xmlns:a="http://schemas.openxmlformats.org/drawingml/2006/main" xmlns:pic="http://schemas.openxmlformats.org/drawingml/2006/picture">
            <wp:extent cx="5669280" cy="4881548"/>
            <wp:docPr id="9" name="Picture 9"/>
            <wp:cNvGraphicFramePr>
              <a:graphicFrameLocks noChangeAspect="1"/>
            </wp:cNvGraphicFramePr>
            <a:graphic>
              <a:graphicData uri="http://schemas.openxmlformats.org/drawingml/2006/picture">
                <pic:pic>
                  <pic:nvPicPr>
                    <pic:cNvPr id="0" name="E_merge_conflict_resolution.png"/>
                    <pic:cNvPicPr/>
                  </pic:nvPicPr>
                  <pic:blipFill>
                    <a:blip r:embed="rId19"/>
                    <a:stretch>
                      <a:fillRect/>
                    </a:stretch>
                  </pic:blipFill>
                  <pic:spPr>
                    <a:xfrm>
                      <a:off x="0" y="0"/>
                      <a:ext cx="5669280" cy="4881548"/>
                    </a:xfrm>
                    <a:prstGeom prst="rect"/>
                  </pic:spPr>
                </pic:pic>
              </a:graphicData>
            </a:graphic>
          </wp:inline>
        </w:drawing>
      </w:r>
    </w:p>
    <w:p>
      <w:pPr>
        <w:spacing w:after="160"/>
        <w:jc w:val="center"/>
      </w:pPr>
      <w:r>
        <w:rPr>
          <w:rFonts w:ascii="Times New Roman" w:hAnsi="Times New Roman"/>
          <w:i/>
          <w:color w:val="5A5A5A"/>
          <w:sz w:val="18"/>
        </w:rPr>
        <w:t>Figure 9: Merge collision in Python code and dvc.lock, reconciliation, and data regeneration.</w:t>
      </w:r>
    </w:p>
    <w:p>
      <w:pPr>
        <w:keepNext/>
        <w:spacing w:before="280" w:after="80"/>
      </w:pPr>
      <w:r>
        <w:rPr>
          <w:rFonts w:ascii="Times New Roman" w:hAnsi="Times New Roman"/>
          <w:b/>
          <w:color w:val="102C57"/>
          <w:sz w:val="26"/>
        </w:rPr>
        <w:t>7. Final Verification &amp; Topology Graph</w:t>
      </w:r>
    </w:p>
    <w:p>
      <w:r>
        <w:t>All code branches (main, dev, teammate-sim) and tags (v1, v2) were pushed to GitHub. The complete unsquashed commit topology is depicted in Figure 10.</w:t>
      </w:r>
    </w:p>
    <w:p>
      <w:pPr>
        <w:spacing w:before="120" w:after="40"/>
        <w:jc w:val="center"/>
      </w:pPr>
      <w:r>
        <w:drawing>
          <wp:inline xmlns:a="http://schemas.openxmlformats.org/drawingml/2006/main" xmlns:pic="http://schemas.openxmlformats.org/drawingml/2006/picture">
            <wp:extent cx="5669280" cy="3878980"/>
            <wp:docPr id="10" name="Picture 10"/>
            <wp:cNvGraphicFramePr>
              <a:graphicFrameLocks noChangeAspect="1"/>
            </wp:cNvGraphicFramePr>
            <a:graphic>
              <a:graphicData uri="http://schemas.openxmlformats.org/drawingml/2006/picture">
                <pic:pic>
                  <pic:nvPicPr>
                    <pic:cNvPr id="0" name="E_final_git_graph.png"/>
                    <pic:cNvPicPr/>
                  </pic:nvPicPr>
                  <pic:blipFill>
                    <a:blip r:embed="rId20"/>
                    <a:stretch>
                      <a:fillRect/>
                    </a:stretch>
                  </pic:blipFill>
                  <pic:spPr>
                    <a:xfrm>
                      <a:off x="0" y="0"/>
                      <a:ext cx="5669280" cy="3878980"/>
                    </a:xfrm>
                    <a:prstGeom prst="rect"/>
                  </pic:spPr>
                </pic:pic>
              </a:graphicData>
            </a:graphic>
          </wp:inline>
        </w:drawing>
      </w:r>
    </w:p>
    <w:p>
      <w:pPr>
        <w:spacing w:after="160"/>
        <w:jc w:val="center"/>
      </w:pPr>
      <w:r>
        <w:rPr>
          <w:rFonts w:ascii="Times New Roman" w:hAnsi="Times New Roman"/>
          <w:i/>
          <w:color w:val="5A5A5A"/>
          <w:sz w:val="18"/>
        </w:rPr>
        <w:t>Figure 10: Complete commit graph topology showing hotfix merge, dev rebase, and teammate merge.</w:t>
      </w:r>
    </w:p>
    <w:tbl>
      <w:tblPr>
        <w:tblW w:type="auto" w:w="0"/>
        <w:jc w:val="center"/>
        <w:tblLook w:firstColumn="1" w:firstRow="1" w:lastColumn="0" w:lastRow="0" w:noHBand="0" w:noVBand="1" w:val="04A0"/>
      </w:tblPr>
      <w:tblGrid>
        <w:gridCol w:w="3120"/>
        <w:gridCol w:w="3120"/>
        <w:gridCol w:w="3120"/>
      </w:tblGrid>
      <w:tr>
        <w:tc>
          <w:tcPr>
            <w:tcW w:type="dxa" w:w="3120"/>
            <w:shd w:fill="EAECEF"/>
            <w:tcMar>
              <w:top w:w="80" w:type="dxa"/>
              <w:bottom w:w="80" w:type="dxa"/>
              <w:left w:w="100" w:type="dxa"/>
              <w:right w:w="100" w:type="dxa"/>
            </w:tcMar>
          </w:tcPr>
          <w:p>
            <w:r>
              <w:rPr>
                <w:b/>
                <w:sz w:val="19"/>
              </w:rPr>
              <w:t>Audit Requirement</w:t>
            </w:r>
          </w:p>
        </w:tc>
        <w:tc>
          <w:tcPr>
            <w:tcW w:type="dxa" w:w="3120"/>
            <w:shd w:fill="EAECEF"/>
            <w:tcMar>
              <w:top w:w="80" w:type="dxa"/>
              <w:bottom w:w="80" w:type="dxa"/>
              <w:left w:w="100" w:type="dxa"/>
              <w:right w:w="100" w:type="dxa"/>
            </w:tcMar>
          </w:tcPr>
          <w:p>
            <w:r>
              <w:rPr>
                <w:b/>
                <w:sz w:val="19"/>
              </w:rPr>
              <w:t>Verification Command</w:t>
            </w:r>
          </w:p>
        </w:tc>
        <w:tc>
          <w:tcPr>
            <w:tcW w:type="dxa" w:w="3120"/>
            <w:shd w:fill="EAECEF"/>
            <w:tcMar>
              <w:top w:w="80" w:type="dxa"/>
              <w:bottom w:w="80" w:type="dxa"/>
              <w:left w:w="100" w:type="dxa"/>
              <w:right w:w="100" w:type="dxa"/>
            </w:tcMar>
          </w:tcPr>
          <w:p>
            <w:r>
              <w:rPr>
                <w:b/>
                <w:sz w:val="19"/>
              </w:rPr>
              <w:t>Observed Outcome</w:t>
            </w:r>
          </w:p>
        </w:tc>
      </w:tr>
      <w:tr>
        <w:tc>
          <w:tcPr>
            <w:tcW w:type="dxa" w:w="3120"/>
            <w:tcMar>
              <w:top w:w="60" w:type="dxa"/>
              <w:bottom w:w="60" w:type="dxa"/>
              <w:left w:w="80" w:type="dxa"/>
              <w:right w:w="80" w:type="dxa"/>
            </w:tcMar>
          </w:tcPr>
          <w:p>
            <w:r>
              <w:rPr>
                <w:sz w:val="17"/>
              </w:rPr>
              <w:t>Complete Unsquashed Git History</w:t>
            </w:r>
          </w:p>
        </w:tc>
        <w:tc>
          <w:tcPr>
            <w:tcW w:type="dxa" w:w="3120"/>
            <w:tcMar>
              <w:top w:w="60" w:type="dxa"/>
              <w:bottom w:w="60" w:type="dxa"/>
              <w:left w:w="80" w:type="dxa"/>
              <w:right w:w="80" w:type="dxa"/>
            </w:tcMar>
          </w:tcPr>
          <w:p>
            <w:r>
              <w:rPr>
                <w:rFonts w:ascii="Consolas" w:hAnsi="Consolas"/>
                <w:sz w:val="17"/>
              </w:rPr>
              <w:t>git log --oneline --graph --all</w:t>
            </w:r>
          </w:p>
        </w:tc>
        <w:tc>
          <w:tcPr>
            <w:tcW w:type="dxa" w:w="3120"/>
            <w:tcMar>
              <w:top w:w="60" w:type="dxa"/>
              <w:bottom w:w="60" w:type="dxa"/>
              <w:left w:w="80" w:type="dxa"/>
              <w:right w:w="80" w:type="dxa"/>
            </w:tcMar>
          </w:tcPr>
          <w:p>
            <w:r>
              <w:rPr>
                <w:sz w:val="17"/>
              </w:rPr>
              <w:t>Verified: Clean topology showing hotfix, rebase, and merge.</w:t>
            </w:r>
          </w:p>
        </w:tc>
      </w:tr>
      <w:tr>
        <w:tc>
          <w:tcPr>
            <w:tcW w:type="dxa" w:w="3120"/>
            <w:tcMar>
              <w:top w:w="60" w:type="dxa"/>
              <w:bottom w:w="60" w:type="dxa"/>
              <w:left w:w="80" w:type="dxa"/>
              <w:right w:w="80" w:type="dxa"/>
            </w:tcMar>
          </w:tcPr>
          <w:p>
            <w:r>
              <w:rPr>
                <w:sz w:val="17"/>
              </w:rPr>
              <w:t>Tagging &amp; Release Provenance</w:t>
            </w:r>
          </w:p>
        </w:tc>
        <w:tc>
          <w:tcPr>
            <w:tcW w:type="dxa" w:w="3120"/>
            <w:tcMar>
              <w:top w:w="60" w:type="dxa"/>
              <w:bottom w:w="60" w:type="dxa"/>
              <w:left w:w="80" w:type="dxa"/>
              <w:right w:w="80" w:type="dxa"/>
            </w:tcMar>
          </w:tcPr>
          <w:p>
            <w:r>
              <w:rPr>
                <w:rFonts w:ascii="Consolas" w:hAnsi="Consolas"/>
                <w:sz w:val="17"/>
              </w:rPr>
              <w:t>git tag -l &amp;&amp; git push origin --tags</w:t>
            </w:r>
          </w:p>
        </w:tc>
        <w:tc>
          <w:tcPr>
            <w:tcW w:type="dxa" w:w="3120"/>
            <w:tcMar>
              <w:top w:w="60" w:type="dxa"/>
              <w:bottom w:w="60" w:type="dxa"/>
              <w:left w:w="80" w:type="dxa"/>
              <w:right w:w="80" w:type="dxa"/>
            </w:tcMar>
          </w:tcPr>
          <w:p>
            <w:r>
              <w:rPr>
                <w:sz w:val="17"/>
              </w:rPr>
              <w:t>Verified: v1 (0.8666) and v2 (0.8774) pushed to remote.</w:t>
            </w:r>
          </w:p>
        </w:tc>
      </w:tr>
      <w:tr>
        <w:tc>
          <w:tcPr>
            <w:tcW w:type="dxa" w:w="3120"/>
            <w:tcMar>
              <w:top w:w="60" w:type="dxa"/>
              <w:bottom w:w="60" w:type="dxa"/>
              <w:left w:w="80" w:type="dxa"/>
              <w:right w:w="80" w:type="dxa"/>
            </w:tcMar>
          </w:tcPr>
          <w:p>
            <w:r>
              <w:rPr>
                <w:sz w:val="17"/>
              </w:rPr>
              <w:t>DVC Pipeline Lock Integrity</w:t>
            </w:r>
          </w:p>
        </w:tc>
        <w:tc>
          <w:tcPr>
            <w:tcW w:type="dxa" w:w="3120"/>
            <w:tcMar>
              <w:top w:w="60" w:type="dxa"/>
              <w:bottom w:w="60" w:type="dxa"/>
              <w:left w:w="80" w:type="dxa"/>
              <w:right w:w="80" w:type="dxa"/>
            </w:tcMar>
          </w:tcPr>
          <w:p>
            <w:r>
              <w:rPr>
                <w:rFonts w:ascii="Consolas" w:hAnsi="Consolas"/>
                <w:sz w:val="17"/>
              </w:rPr>
              <w:t>dvc repro (idempotency check)</w:t>
            </w:r>
          </w:p>
        </w:tc>
        <w:tc>
          <w:tcPr>
            <w:tcW w:type="dxa" w:w="3120"/>
            <w:tcMar>
              <w:top w:w="60" w:type="dxa"/>
              <w:bottom w:w="60" w:type="dxa"/>
              <w:left w:w="80" w:type="dxa"/>
              <w:right w:w="80" w:type="dxa"/>
            </w:tcMar>
          </w:tcPr>
          <w:p>
            <w:r>
              <w:rPr>
                <w:sz w:val="17"/>
              </w:rPr>
              <w:t>Verified: All stages report 'didn't change, skipping'.</w:t>
            </w:r>
          </w:p>
        </w:tc>
      </w:tr>
      <w:tr>
        <w:tc>
          <w:tcPr>
            <w:tcW w:type="dxa" w:w="3120"/>
            <w:tcMar>
              <w:top w:w="60" w:type="dxa"/>
              <w:bottom w:w="60" w:type="dxa"/>
              <w:left w:w="80" w:type="dxa"/>
              <w:right w:w="80" w:type="dxa"/>
            </w:tcMar>
          </w:tcPr>
          <w:p>
            <w:r>
              <w:rPr>
                <w:sz w:val="17"/>
              </w:rPr>
              <w:t>Cloud Remote Cache Synchronization</w:t>
            </w:r>
          </w:p>
        </w:tc>
        <w:tc>
          <w:tcPr>
            <w:tcW w:type="dxa" w:w="3120"/>
            <w:tcMar>
              <w:top w:w="60" w:type="dxa"/>
              <w:bottom w:w="60" w:type="dxa"/>
              <w:left w:w="80" w:type="dxa"/>
              <w:right w:w="80" w:type="dxa"/>
            </w:tcMar>
          </w:tcPr>
          <w:p>
            <w:r>
              <w:rPr>
                <w:rFonts w:ascii="Consolas" w:hAnsi="Consolas"/>
                <w:sz w:val="17"/>
              </w:rPr>
              <w:t>dvc status -c</w:t>
            </w:r>
          </w:p>
        </w:tc>
        <w:tc>
          <w:tcPr>
            <w:tcW w:type="dxa" w:w="3120"/>
            <w:tcMar>
              <w:top w:w="60" w:type="dxa"/>
              <w:bottom w:w="60" w:type="dxa"/>
              <w:left w:w="80" w:type="dxa"/>
              <w:right w:w="80" w:type="dxa"/>
            </w:tcMar>
          </w:tcPr>
          <w:p>
            <w:r>
              <w:rPr>
                <w:sz w:val="17"/>
              </w:rPr>
              <w:t>Verified: 'Cache and remote gdrive_storage are in sync'.</w:t>
            </w:r>
          </w:p>
        </w:tc>
      </w:tr>
      <w:tr>
        <w:tc>
          <w:tcPr>
            <w:tcW w:type="dxa" w:w="3120"/>
            <w:tcMar>
              <w:top w:w="60" w:type="dxa"/>
              <w:bottom w:w="60" w:type="dxa"/>
              <w:left w:w="80" w:type="dxa"/>
              <w:right w:w="80" w:type="dxa"/>
            </w:tcMar>
          </w:tcPr>
          <w:p>
            <w:r>
              <w:rPr>
                <w:sz w:val="17"/>
              </w:rPr>
              <w:t>Security Audit: Zero Credentials in Git</w:t>
            </w:r>
          </w:p>
        </w:tc>
        <w:tc>
          <w:tcPr>
            <w:tcW w:type="dxa" w:w="3120"/>
            <w:tcMar>
              <w:top w:w="60" w:type="dxa"/>
              <w:bottom w:w="60" w:type="dxa"/>
              <w:left w:w="80" w:type="dxa"/>
              <w:right w:w="80" w:type="dxa"/>
            </w:tcMar>
          </w:tcPr>
          <w:p>
            <w:r>
              <w:rPr>
                <w:rFonts w:ascii="Consolas" w:hAnsi="Consolas"/>
                <w:sz w:val="17"/>
              </w:rPr>
              <w:t>git ls-files | grep -iE 'cred|token|secret'</w:t>
            </w:r>
          </w:p>
        </w:tc>
        <w:tc>
          <w:tcPr>
            <w:tcW w:type="dxa" w:w="3120"/>
            <w:tcMar>
              <w:top w:w="60" w:type="dxa"/>
              <w:bottom w:w="60" w:type="dxa"/>
              <w:left w:w="80" w:type="dxa"/>
              <w:right w:w="80" w:type="dxa"/>
            </w:tcMar>
          </w:tcPr>
          <w:p>
            <w:r>
              <w:rPr>
                <w:sz w:val="17"/>
              </w:rPr>
              <w:t>Verified: 0 matching files; secret kept in .dvc/config.local.</w:t>
            </w:r>
          </w:p>
        </w:tc>
      </w:tr>
    </w:tbl>
    <w:p>
      <w:pPr>
        <w:spacing w:after="160"/>
      </w:pPr>
    </w:p>
    <w:p>
      <w:pPr>
        <w:keepNext/>
        <w:spacing w:before="280" w:after="80"/>
      </w:pPr>
      <w:r>
        <w:rPr>
          <w:rFonts w:ascii="Times New Roman" w:hAnsi="Times New Roman"/>
          <w:b/>
          <w:color w:val="102C57"/>
          <w:sz w:val="26"/>
        </w:rPr>
        <w:t>8. Conclusion</w:t>
      </w:r>
    </w:p>
    <w:p>
      <w:r>
        <w:t>This project successfully operationalized the full spectrum of Git and DVC integration. By maintaining code changes in Git and large multidimensional arrays in Google Drive, the pipeline achieves high speed, reproducibility, and auditability. The demonstrated resolution of dual code and DVC lock conflicts equips engineering teams with a robust methodology for collaborative data science and continuous model integration.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7"/>
      </w:rPr>
      <w:t>National University of Computer &amp; Emerging Sciences (FAST-NUCES) Lahore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CS4069 MLOps | Assignment 3: Git + DVC + Google Drive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