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4B5563"/>
          <w:sz w:val="22"/>
          <w:szCs w:val="22"/>
        </w:rPr>
        <w:t xml:space="preserve">ftd-spi-employee</w:t>
      </w:r>
    </w:p>
    <w:p>
      <w:pPr>
        <w:spacing w:after="200"/>
      </w:pPr>
      <w:r>
        <w:rPr>
          <w:b/>
          <w:bCs/>
          <w:color w:val="1F2937"/>
          <w:sz w:val="40"/>
          <w:szCs w:val="40"/>
        </w:rPr>
        <w:t xml:space="preserve">Remediación de hallazgos de seguridad — backend</w:t>
      </w:r>
    </w:p>
    <w:p>
      <w:pPr>
        <w:spacing w:after="140" w:line="300"/>
      </w:pPr>
      <w:r>
        <w:rPr>
          <w:color w:val="1F2937"/>
          <w:sz w:val="21"/>
          <w:szCs w:val="21"/>
        </w:rPr>
        <w:t xml:space="preserve">Respuesta técnica al Reporte de Penetration Testing de FarmaGuard Ethical Hacking Platform sobre https://ftd-spi-employee-gcp-dot-aplicaciones-vp-finanzas.uc.r.appspot.com (06 de agosto de 2026).</w:t>
      </w:r>
    </w:p>
    <w:p>
      <w:pPr>
        <w:spacing w:after="140" w:line="300"/>
      </w:pPr>
      <w:r>
        <w:rPr>
          <w:b/>
          <w:bCs/>
          <w:sz w:val="21"/>
          <w:szCs w:val="21"/>
        </w:rPr>
        <w:t xml:space="preserve">Fecha de este documento: </w:t>
      </w:r>
      <w:r>
        <w:rPr>
          <w:sz w:val="21"/>
          <w:szCs w:val="21"/>
        </w:rPr>
        <w:t xml:space="preserve">09 de agosto de 2026 (rev. 2 — ronda de correcciones adicionales)</w:t>
      </w:r>
    </w:p>
    <w:p>
      <w:pPr>
        <w:spacing w:after="140" w:line="300"/>
      </w:pPr>
      <w:r>
        <w:rPr>
          <w:b/>
          <w:bCs/>
          <w:sz w:val="21"/>
          <w:szCs w:val="21"/>
        </w:rPr>
        <w:t xml:space="preserve">Alcance: </w:t>
      </w:r>
      <w:r>
        <w:rPr>
          <w:sz w:val="21"/>
          <w:szCs w:val="21"/>
        </w:rPr>
        <w:t xml:space="preserve">únicamente los hallazgos accionables desde el backend Express/TypeScript + Oracle PL/SQL de este repositorio. Los hallazgos de Firebase, del portal frontend y de infraestructura pura de GCP se listan al final para seguimiento por los equipos correspondientes, no se tocan aquí.</w:t>
      </w:r>
    </w:p>
    <w:p>
      <w:pPr>
        <w:pBdr>
          <w:bottom w:val="single" w:color="D1D5DB" w:sz="6" w:space="1"/>
        </w:pBdr>
        <w:spacing w:after="200" w:before="100"/>
      </w:pPr>
    </w:p>
    <w:p>
      <w:pPr>
        <w:pStyle w:val="Heading1"/>
        <w:spacing w:after="160" w:before="320"/>
      </w:pPr>
      <w:r>
        <w:rPr>
          <w:b/>
          <w:bCs/>
          <w:color w:val="1F2937"/>
          <w:sz w:val="30"/>
          <w:szCs w:val="30"/>
        </w:rPr>
        <w:t xml:space="preserve">1. Resumen ejecutivo</w:t>
      </w:r>
    </w:p>
    <w:p>
      <w:pPr>
        <w:spacing w:after="140" w:line="300"/>
      </w:pPr>
      <w:r>
        <w:rPr>
          <w:color w:val="1F2937"/>
          <w:sz w:val="21"/>
          <w:szCs w:val="21"/>
        </w:rPr>
        <w:t xml:space="preserve">El reporte identificó 71 hallazgos (7 críticos, 17 altos, 16 medios, 7 bajos, 12 informativos) contra el endpoint /catalogs/parishes/list y, por extensión, el resto de la API. De esos 71, la mayoría no corresponde a este repositorio: son de Firebase/Firestore, del portal frontend "aplicaciones-vp-finanzas", o de configuración de despliegue en Google Cloud (App Engine, TLS, naming de subdominios) — se listan en la sección 6 para los equipos correspondientes.</w:t>
      </w:r>
    </w:p>
    <w:p>
      <w:pPr>
        <w:spacing w:after="140" w:line="300"/>
      </w:pPr>
      <w:r>
        <w:rPr>
          <w:color w:val="1F2937"/>
          <w:sz w:val="21"/>
          <w:szCs w:val="21"/>
        </w:rPr>
        <w:t xml:space="preserve">De los hallazgos que sí son de este backend, se verificó cada uno contra el código real antes de tocar nada — varios ya estaban mitigados (algoritmo JWT restringido explícitamente a RS256, métodos HTTP no expuestos, binds parametrizados en Oracle, rate limiting activo) y el reporte simplemente no lo detectó o se contradice a sí mismo entre hallazgos (detalle en la sección 5). El hallazgo real y más importante confirmado fue de orden de middleware: la capa de descifrado de payload (RequestJson/ResponseJson) se ejecutaba antes que la validación del JWT, lo que permitía que una solicitud sin token, con solo un body cifrado inválido, recibiera 400 en vez de 401, y que una respuesta de error terminara envuelta en el mismo cifrado que una respuesta exitosa. Se corrigió el orden, se agregaron cabeceras de seguridad faltantes, se endureció CORS, se configuró trust proxy para que el rate limiting use la IP real del cliente, y se cerró un fallo abierto en el cifrado obligatorio (si faltaba la clave, aceptaba tráfico sin cifrar en silencio en vez de rechazarlo). Como efecto colateral del fix de orden de middleware, también se cerró la enumeración de endpoints por respuesta diferencial (401 vs 404) que el reporte señalaba. Todas las correcciones quedaron cubiertas por tests automatizados nuevos (unitarios y e2e) y por una colección Postman dedicada para verificación en vivo. Las 2 únicas correcciones del reporte que se dejaron sin aplicar están documentadas explícitamente en la sección 4, con el motivo (rompen un contrato de API que clientes reales ya integran) y a quién coordinarlo.</w:t>
      </w:r>
    </w:p>
    <w:p>
      <w:pPr>
        <w:pStyle w:val="Heading1"/>
        <w:spacing w:after="160" w:before="320"/>
      </w:pPr>
      <w:r>
        <w:rPr>
          <w:b/>
          <w:bCs/>
          <w:color w:val="1F2937"/>
          <w:sz w:val="30"/>
          <w:szCs w:val="30"/>
        </w:rPr>
        <w:t xml:space="preserve">2. Hallazgos corregidos en este ciclo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800"/>
        <w:gridCol w:w="2260"/>
      </w:tblGrid>
      <w:tr>
        <w:trPr>
          <w:tblHeader/>
        </w:trPr>
        <w:tc>
          <w:tcPr>
            <w:tcW w:type="dxa" w:w="1800"/>
            <w:shd w:fill="1F2937" w:val="clear"/>
            <w:tcMar>
              <w:top w:type="dxa" w:w="80"/>
              <w:left w:type="dxa" w:w="100"/>
              <w:bottom w:type="dxa" w:w="80"/>
              <w:right w:type="dxa" w:w="100"/>
            </w:tcMar>
            <w:vAlign w:val="center"/>
          </w:tcPr>
          <w:p>
            <w:r>
              <w:rPr>
                <w:b/>
                <w:bCs/>
                <w:color w:val="FFFFFF"/>
                <w:sz w:val="19"/>
                <w:szCs w:val="19"/>
              </w:rPr>
              <w:t xml:space="preserve">Hallazgos (#)</w:t>
            </w:r>
          </w:p>
        </w:tc>
        <w:tc>
          <w:tcPr>
            <w:tcW w:type="dxa" w:w="1500"/>
            <w:shd w:fill="1F2937" w:val="clear"/>
            <w:tcMar>
              <w:top w:type="dxa" w:w="80"/>
              <w:left w:type="dxa" w:w="100"/>
              <w:bottom w:type="dxa" w:w="80"/>
              <w:right w:type="dxa" w:w="100"/>
            </w:tcMar>
            <w:vAlign w:val="center"/>
          </w:tcPr>
          <w:p>
            <w:r>
              <w:rPr>
                <w:b/>
                <w:bCs/>
                <w:color w:val="FFFFFF"/>
                <w:sz w:val="19"/>
                <w:szCs w:val="19"/>
              </w:rPr>
              <w:t xml:space="preserve">Severidad</w:t>
            </w:r>
          </w:p>
        </w:tc>
        <w:tc>
          <w:tcPr>
            <w:tcW w:type="dxa" w:w="5800"/>
            <w:shd w:fill="1F2937" w:val="clear"/>
            <w:tcMar>
              <w:top w:type="dxa" w:w="80"/>
              <w:left w:type="dxa" w:w="100"/>
              <w:bottom w:type="dxa" w:w="80"/>
              <w:right w:type="dxa" w:w="100"/>
            </w:tcMar>
            <w:vAlign w:val="center"/>
          </w:tcPr>
          <w:p>
            <w:r>
              <w:rPr>
                <w:b/>
                <w:bCs/>
                <w:color w:val="FFFFFF"/>
                <w:sz w:val="19"/>
                <w:szCs w:val="19"/>
              </w:rPr>
              <w:t xml:space="preserve">Descripción</w:t>
            </w:r>
          </w:p>
        </w:tc>
        <w:tc>
          <w:tcPr>
            <w:tcW w:type="dxa" w:w="2260"/>
            <w:shd w:fill="1F2937" w:val="clear"/>
            <w:tcMar>
              <w:top w:type="dxa" w:w="80"/>
              <w:left w:type="dxa" w:w="100"/>
              <w:bottom w:type="dxa" w:w="80"/>
              <w:right w:type="dxa" w:w="100"/>
            </w:tcMar>
            <w:vAlign w:val="center"/>
          </w:tcPr>
          <w:p>
            <w:r>
              <w:rPr>
                <w:b/>
                <w:bCs/>
                <w:color w:val="FFFFFF"/>
                <w:sz w:val="19"/>
                <w:szCs w:val="19"/>
              </w:rPr>
              <w:t xml:space="preserve">Estado</w:t>
            </w:r>
          </w:p>
        </w:tc>
      </w:tr>
      <w:tr>
        <w:tc>
          <w:tcPr>
            <w:tcW w:type="dxa" w:w="1800"/>
            <w:shd w:fill="FFFFFF" w:val="clear"/>
            <w:tcMar>
              <w:top w:type="dxa" w:w="80"/>
              <w:left w:type="dxa" w:w="100"/>
              <w:bottom w:type="dxa" w:w="80"/>
              <w:right w:type="dxa" w:w="100"/>
            </w:tcMar>
            <w:vAlign w:val="center"/>
          </w:tcPr>
          <w:p>
            <w:r>
              <w:rPr>
                <w:b/>
                <w:bCs/>
                <w:color w:val="1F2937"/>
                <w:sz w:val="19"/>
                <w:szCs w:val="19"/>
              </w:rPr>
              <w:t xml:space="preserve">#11–13, 30</w:t>
            </w:r>
          </w:p>
        </w:tc>
        <w:tc>
          <w:tcPr>
            <w:tcW w:type="dxa" w:w="1500"/>
            <w:shd w:fill="FFFFFF" w:val="clear"/>
            <w:tcMar>
              <w:top w:type="dxa" w:w="80"/>
              <w:left w:type="dxa" w:w="100"/>
              <w:bottom w:type="dxa" w:w="80"/>
              <w:right w:type="dxa" w:w="100"/>
            </w:tcMar>
            <w:vAlign w:val="center"/>
          </w:tcPr>
          <w:p>
            <w:r>
              <w:rPr>
                <w:b w:val="false"/>
                <w:bCs w:val="false"/>
                <w:color w:val="1F2937"/>
                <w:sz w:val="19"/>
                <w:szCs w:val="19"/>
              </w:rPr>
              <w:t xml:space="preserve">HIGH/MED</w:t>
            </w:r>
          </w:p>
        </w:tc>
        <w:tc>
          <w:tcPr>
            <w:tcW w:type="dxa" w:w="5800"/>
            <w:shd w:fill="FFFFFF" w:val="clear"/>
            <w:tcMar>
              <w:top w:type="dxa" w:w="80"/>
              <w:left w:type="dxa" w:w="100"/>
              <w:bottom w:type="dxa" w:w="80"/>
              <w:right w:type="dxa" w:w="100"/>
            </w:tcMar>
            <w:vAlign w:val="center"/>
          </w:tcPr>
          <w:p>
            <w:r>
              <w:rPr>
                <w:b w:val="false"/>
                <w:bCs w:val="false"/>
                <w:color w:val="1F2937"/>
                <w:sz w:val="19"/>
                <w:szCs w:val="19"/>
              </w:rPr>
              <w:t xml:space="preserve">Orden de middleware: auth corre después del descifrado del payload (401 se filtraba como 400 cifrado)</w:t>
            </w:r>
          </w:p>
        </w:tc>
        <w:tc>
          <w:tcPr>
            <w:tcW w:type="dxa" w:w="2260"/>
            <w:shd w:fill="FFFFFF" w:val="clear"/>
            <w:tcMar>
              <w:top w:type="dxa" w:w="80"/>
              <w:left w:type="dxa" w:w="100"/>
              <w:bottom w:type="dxa" w:w="80"/>
              <w:right w:type="dxa" w:w="100"/>
            </w:tcMar>
            <w:vAlign w:val="center"/>
          </w:tcPr>
          <w:p>
            <w:r>
              <w:rPr>
                <w:b/>
                <w:bCs/>
                <w:color w:val="1F2937"/>
                <w:sz w:val="19"/>
                <w:szCs w:val="19"/>
              </w:rPr>
              <w:t xml:space="preserve">CORREGIDO</w:t>
            </w:r>
          </w:p>
        </w:tc>
      </w:tr>
      <w:tr>
        <w:tc>
          <w:tcPr>
            <w:tcW w:type="dxa" w:w="1800"/>
            <w:shd w:fill="F3F4F6" w:val="clear"/>
            <w:tcMar>
              <w:top w:type="dxa" w:w="80"/>
              <w:left w:type="dxa" w:w="100"/>
              <w:bottom w:type="dxa" w:w="80"/>
              <w:right w:type="dxa" w:w="100"/>
            </w:tcMar>
            <w:vAlign w:val="center"/>
          </w:tcPr>
          <w:p>
            <w:r>
              <w:rPr>
                <w:b/>
                <w:bCs/>
                <w:color w:val="1F2937"/>
                <w:sz w:val="19"/>
                <w:szCs w:val="19"/>
              </w:rPr>
              <w:t xml:space="preserve">#15, 33, 36, 38, 41, 45, 50</w:t>
            </w:r>
          </w:p>
        </w:tc>
        <w:tc>
          <w:tcPr>
            <w:tcW w:type="dxa" w:w="1500"/>
            <w:shd w:fill="F3F4F6" w:val="clear"/>
            <w:tcMar>
              <w:top w:type="dxa" w:w="80"/>
              <w:left w:type="dxa" w:w="100"/>
              <w:bottom w:type="dxa" w:w="80"/>
              <w:right w:type="dxa" w:w="100"/>
            </w:tcMar>
            <w:vAlign w:val="center"/>
          </w:tcPr>
          <w:p>
            <w:r>
              <w:rPr>
                <w:b w:val="false"/>
                <w:bCs w:val="false"/>
                <w:color w:val="1F2937"/>
                <w:sz w:val="19"/>
                <w:szCs w:val="19"/>
              </w:rPr>
              <w:t xml:space="preserve">HIGH/MED/LOW</w:t>
            </w:r>
          </w:p>
        </w:tc>
        <w:tc>
          <w:tcPr>
            <w:tcW w:type="dxa" w:w="5800"/>
            <w:shd w:fill="F3F4F6" w:val="clear"/>
            <w:tcMar>
              <w:top w:type="dxa" w:w="80"/>
              <w:left w:type="dxa" w:w="100"/>
              <w:bottom w:type="dxa" w:w="80"/>
              <w:right w:type="dxa" w:w="100"/>
            </w:tcMar>
            <w:vAlign w:val="center"/>
          </w:tcPr>
          <w:p>
            <w:r>
              <w:rPr>
                <w:b w:val="false"/>
                <w:bCs w:val="false"/>
                <w:color w:val="1F2937"/>
                <w:sz w:val="19"/>
                <w:szCs w:val="19"/>
              </w:rPr>
              <w:t xml:space="preserve">Cabeceras de seguridad HTTP incompletas (Permissions-Policy, Cache-Control)</w:t>
            </w:r>
          </w:p>
        </w:tc>
        <w:tc>
          <w:tcPr>
            <w:tcW w:type="dxa" w:w="2260"/>
            <w:shd w:fill="F3F4F6" w:val="clear"/>
            <w:tcMar>
              <w:top w:type="dxa" w:w="80"/>
              <w:left w:type="dxa" w:w="100"/>
              <w:bottom w:type="dxa" w:w="80"/>
              <w:right w:type="dxa" w:w="100"/>
            </w:tcMar>
            <w:vAlign w:val="center"/>
          </w:tcPr>
          <w:p>
            <w:r>
              <w:rPr>
                <w:b/>
                <w:bCs/>
                <w:color w:val="1F2937"/>
                <w:sz w:val="19"/>
                <w:szCs w:val="19"/>
              </w:rPr>
              <w:t xml:space="preserve">CORREGIDO</w:t>
            </w:r>
          </w:p>
        </w:tc>
      </w:tr>
      <w:tr>
        <w:tc>
          <w:tcPr>
            <w:tcW w:type="dxa" w:w="1800"/>
            <w:shd w:fill="FFFFFF" w:val="clear"/>
            <w:tcMar>
              <w:top w:type="dxa" w:w="80"/>
              <w:left w:type="dxa" w:w="100"/>
              <w:bottom w:type="dxa" w:w="80"/>
              <w:right w:type="dxa" w:w="100"/>
            </w:tcMar>
            <w:vAlign w:val="center"/>
          </w:tcPr>
          <w:p>
            <w:r>
              <w:rPr>
                <w:b/>
                <w:bCs/>
                <w:color w:val="1F2937"/>
                <w:sz w:val="19"/>
                <w:szCs w:val="19"/>
              </w:rPr>
              <w:t xml:space="preserve">#16, 21, 26, 28, 31, 37, 42</w:t>
            </w:r>
          </w:p>
        </w:tc>
        <w:tc>
          <w:tcPr>
            <w:tcW w:type="dxa" w:w="1500"/>
            <w:shd w:fill="FFFFFF" w:val="clear"/>
            <w:tcMar>
              <w:top w:type="dxa" w:w="80"/>
              <w:left w:type="dxa" w:w="100"/>
              <w:bottom w:type="dxa" w:w="80"/>
              <w:right w:type="dxa" w:w="100"/>
            </w:tcMar>
            <w:vAlign w:val="center"/>
          </w:tcPr>
          <w:p>
            <w:r>
              <w:rPr>
                <w:b w:val="false"/>
                <w:bCs w:val="false"/>
                <w:color w:val="1F2937"/>
                <w:sz w:val="19"/>
                <w:szCs w:val="19"/>
              </w:rPr>
              <w:t xml:space="preserve">HIGH/MED</w:t>
            </w:r>
          </w:p>
        </w:tc>
        <w:tc>
          <w:tcPr>
            <w:tcW w:type="dxa" w:w="5800"/>
            <w:shd w:fill="FFFFFF" w:val="clear"/>
            <w:tcMar>
              <w:top w:type="dxa" w:w="80"/>
              <w:left w:type="dxa" w:w="100"/>
              <w:bottom w:type="dxa" w:w="80"/>
              <w:right w:type="dxa" w:w="100"/>
            </w:tcMar>
            <w:vAlign w:val="center"/>
          </w:tcPr>
          <w:p>
            <w:r>
              <w:rPr>
                <w:b w:val="false"/>
                <w:bCs w:val="false"/>
                <w:color w:val="1F2937"/>
                <w:sz w:val="19"/>
                <w:szCs w:val="19"/>
              </w:rPr>
              <w:t xml:space="preserve">CORS: métodos innecesarios (PUT/DELETE/PATCH) y riesgo de orígenes localhost en producción</w:t>
            </w:r>
          </w:p>
        </w:tc>
        <w:tc>
          <w:tcPr>
            <w:tcW w:type="dxa" w:w="2260"/>
            <w:shd w:fill="FFFFFF" w:val="clear"/>
            <w:tcMar>
              <w:top w:type="dxa" w:w="80"/>
              <w:left w:type="dxa" w:w="100"/>
              <w:bottom w:type="dxa" w:w="80"/>
              <w:right w:type="dxa" w:w="100"/>
            </w:tcMar>
            <w:vAlign w:val="center"/>
          </w:tcPr>
          <w:p>
            <w:r>
              <w:rPr>
                <w:b/>
                <w:bCs/>
                <w:color w:val="1F2937"/>
                <w:sz w:val="19"/>
                <w:szCs w:val="19"/>
              </w:rPr>
              <w:t xml:space="preserve">CORREGIDO</w:t>
            </w:r>
          </w:p>
        </w:tc>
      </w:tr>
      <w:tr>
        <w:tc>
          <w:tcPr>
            <w:tcW w:type="dxa" w:w="1800"/>
            <w:shd w:fill="F3F4F6" w:val="clear"/>
            <w:tcMar>
              <w:top w:type="dxa" w:w="80"/>
              <w:left w:type="dxa" w:w="100"/>
              <w:bottom w:type="dxa" w:w="80"/>
              <w:right w:type="dxa" w:w="100"/>
            </w:tcMar>
            <w:vAlign w:val="center"/>
          </w:tcPr>
          <w:p>
            <w:r>
              <w:rPr>
                <w:b/>
                <w:bCs/>
                <w:color w:val="1F2937"/>
                <w:sz w:val="19"/>
                <w:szCs w:val="19"/>
              </w:rPr>
              <w:t xml:space="preserve">#27</w:t>
            </w:r>
          </w:p>
        </w:tc>
        <w:tc>
          <w:tcPr>
            <w:tcW w:type="dxa" w:w="1500"/>
            <w:shd w:fill="F3F4F6" w:val="clear"/>
            <w:tcMar>
              <w:top w:type="dxa" w:w="80"/>
              <w:left w:type="dxa" w:w="100"/>
              <w:bottom w:type="dxa" w:w="80"/>
              <w:right w:type="dxa" w:w="100"/>
            </w:tcMar>
            <w:vAlign w:val="center"/>
          </w:tcPr>
          <w:p>
            <w:r>
              <w:rPr>
                <w:b w:val="false"/>
                <w:bCs w:val="false"/>
                <w:color w:val="1F2937"/>
                <w:sz w:val="19"/>
                <w:szCs w:val="19"/>
              </w:rPr>
              <w:t xml:space="preserve">MEDIUM</w:t>
            </w:r>
          </w:p>
        </w:tc>
        <w:tc>
          <w:tcPr>
            <w:tcW w:type="dxa" w:w="5800"/>
            <w:shd w:fill="F3F4F6" w:val="clear"/>
            <w:tcMar>
              <w:top w:type="dxa" w:w="80"/>
              <w:left w:type="dxa" w:w="100"/>
              <w:bottom w:type="dxa" w:w="80"/>
              <w:right w:type="dxa" w:w="100"/>
            </w:tcMar>
            <w:vAlign w:val="center"/>
          </w:tcPr>
          <w:p>
            <w:r>
              <w:rPr>
                <w:b w:val="false"/>
                <w:bCs w:val="false"/>
                <w:color w:val="1F2937"/>
                <w:sz w:val="19"/>
                <w:szCs w:val="19"/>
              </w:rPr>
              <w:t xml:space="preserve">Enumeración por respuesta diferencial: ruta inexistente (404) vs ruta real sin token (401)</w:t>
            </w:r>
          </w:p>
        </w:tc>
        <w:tc>
          <w:tcPr>
            <w:tcW w:type="dxa" w:w="2260"/>
            <w:shd w:fill="F3F4F6" w:val="clear"/>
            <w:tcMar>
              <w:top w:type="dxa" w:w="80"/>
              <w:left w:type="dxa" w:w="100"/>
              <w:bottom w:type="dxa" w:w="80"/>
              <w:right w:type="dxa" w:w="100"/>
            </w:tcMar>
            <w:vAlign w:val="center"/>
          </w:tcPr>
          <w:p>
            <w:r>
              <w:rPr>
                <w:b/>
                <w:bCs/>
                <w:color w:val="1F2937"/>
                <w:sz w:val="19"/>
                <w:szCs w:val="19"/>
              </w:rPr>
              <w:t xml:space="preserve">CORREGIDO (efecto del fix de orden de middleware)</w:t>
            </w:r>
          </w:p>
        </w:tc>
      </w:tr>
      <w:tr>
        <w:tc>
          <w:tcPr>
            <w:tcW w:type="dxa" w:w="1800"/>
            <w:shd w:fill="FFFFFF" w:val="clear"/>
            <w:tcMar>
              <w:top w:type="dxa" w:w="80"/>
              <w:left w:type="dxa" w:w="100"/>
              <w:bottom w:type="dxa" w:w="80"/>
              <w:right w:type="dxa" w:w="100"/>
            </w:tcMar>
            <w:vAlign w:val="center"/>
          </w:tcPr>
          <w:p>
            <w:r>
              <w:rPr>
                <w:b/>
                <w:bCs/>
                <w:color w:val="1F2937"/>
                <w:sz w:val="19"/>
                <w:szCs w:val="19"/>
              </w:rPr>
              <w:t xml:space="preserve">#29, #34 (endurecido)</w:t>
            </w:r>
          </w:p>
        </w:tc>
        <w:tc>
          <w:tcPr>
            <w:tcW w:type="dxa" w:w="1500"/>
            <w:shd w:fill="FFFFFF" w:val="clear"/>
            <w:tcMar>
              <w:top w:type="dxa" w:w="80"/>
              <w:left w:type="dxa" w:w="100"/>
              <w:bottom w:type="dxa" w:w="80"/>
              <w:right w:type="dxa" w:w="100"/>
            </w:tcMar>
            <w:vAlign w:val="center"/>
          </w:tcPr>
          <w:p>
            <w:r>
              <w:rPr>
                <w:b w:val="false"/>
                <w:bCs w:val="false"/>
                <w:color w:val="1F2937"/>
                <w:sz w:val="19"/>
                <w:szCs w:val="19"/>
              </w:rPr>
              <w:t xml:space="preserve">MEDIUM</w:t>
            </w:r>
          </w:p>
        </w:tc>
        <w:tc>
          <w:tcPr>
            <w:tcW w:type="dxa" w:w="5800"/>
            <w:shd w:fill="FFFFFF" w:val="clear"/>
            <w:tcMar>
              <w:top w:type="dxa" w:w="80"/>
              <w:left w:type="dxa" w:w="100"/>
              <w:bottom w:type="dxa" w:w="80"/>
              <w:right w:type="dxa" w:w="100"/>
            </w:tcMar>
            <w:vAlign w:val="center"/>
          </w:tcPr>
          <w:p>
            <w:r>
              <w:rPr>
                <w:b w:val="false"/>
                <w:bCs w:val="false"/>
                <w:color w:val="1F2937"/>
                <w:sz w:val="19"/>
                <w:szCs w:val="19"/>
              </w:rPr>
              <w:t xml:space="preserve">trust proxy no configurado: rate limit podía agruparse bajo la IP del load balancer o confiar en X-Forwarded-For no verificado</w:t>
            </w:r>
          </w:p>
        </w:tc>
        <w:tc>
          <w:tcPr>
            <w:tcW w:type="dxa" w:w="2260"/>
            <w:shd w:fill="FFFFFF" w:val="clear"/>
            <w:tcMar>
              <w:top w:type="dxa" w:w="80"/>
              <w:left w:type="dxa" w:w="100"/>
              <w:bottom w:type="dxa" w:w="80"/>
              <w:right w:type="dxa" w:w="100"/>
            </w:tcMar>
            <w:vAlign w:val="center"/>
          </w:tcPr>
          <w:p>
            <w:r>
              <w:rPr>
                <w:b/>
                <w:bCs/>
                <w:color w:val="1F2937"/>
                <w:sz w:val="19"/>
                <w:szCs w:val="19"/>
              </w:rPr>
              <w:t xml:space="preserve">CORREGIDO</w:t>
            </w:r>
          </w:p>
        </w:tc>
      </w:tr>
      <w:tr>
        <w:tc>
          <w:tcPr>
            <w:tcW w:type="dxa" w:w="1800"/>
            <w:shd w:fill="F3F4F6" w:val="clear"/>
            <w:tcMar>
              <w:top w:type="dxa" w:w="80"/>
              <w:left w:type="dxa" w:w="100"/>
              <w:bottom w:type="dxa" w:w="80"/>
              <w:right w:type="dxa" w:w="100"/>
            </w:tcMar>
            <w:vAlign w:val="center"/>
          </w:tcPr>
          <w:p>
            <w:r>
              <w:rPr>
                <w:b/>
                <w:bCs/>
                <w:color w:val="1F2937"/>
                <w:sz w:val="19"/>
                <w:szCs w:val="19"/>
              </w:rPr>
              <w:t xml:space="preserve">(hallazgo propio)</w:t>
            </w:r>
          </w:p>
        </w:tc>
        <w:tc>
          <w:tcPr>
            <w:tcW w:type="dxa" w:w="1500"/>
            <w:shd w:fill="F3F4F6" w:val="clear"/>
            <w:tcMar>
              <w:top w:type="dxa" w:w="80"/>
              <w:left w:type="dxa" w:w="100"/>
              <w:bottom w:type="dxa" w:w="80"/>
              <w:right w:type="dxa" w:w="100"/>
            </w:tcMar>
            <w:vAlign w:val="center"/>
          </w:tcPr>
          <w:p>
            <w:r>
              <w:rPr>
                <w:b w:val="false"/>
                <w:bCs w:val="false"/>
                <w:color w:val="1F2937"/>
                <w:sz w:val="19"/>
                <w:szCs w:val="19"/>
              </w:rPr>
              <w:t xml:space="preserve">MEDIUM</w:t>
            </w:r>
          </w:p>
        </w:tc>
        <w:tc>
          <w:tcPr>
            <w:tcW w:type="dxa" w:w="5800"/>
            <w:shd w:fill="F3F4F6" w:val="clear"/>
            <w:tcMar>
              <w:top w:type="dxa" w:w="80"/>
              <w:left w:type="dxa" w:w="100"/>
              <w:bottom w:type="dxa" w:w="80"/>
              <w:right w:type="dxa" w:w="100"/>
            </w:tcMar>
            <w:vAlign w:val="center"/>
          </w:tcPr>
          <w:p>
            <w:r>
              <w:rPr>
                <w:b w:val="false"/>
                <w:bCs w:val="false"/>
                <w:color w:val="1F2937"/>
                <w:sz w:val="19"/>
                <w:szCs w:val="19"/>
              </w:rPr>
              <w:t xml:space="preserve">REQUIRE_ENCRYPTED_PAYLOAD=true sin PAYLOAD_ENCRYPTION_KEY fallaba abierto (aceptaba texto plano en silencio)</w:t>
            </w:r>
          </w:p>
        </w:tc>
        <w:tc>
          <w:tcPr>
            <w:tcW w:type="dxa" w:w="2260"/>
            <w:shd w:fill="F3F4F6" w:val="clear"/>
            <w:tcMar>
              <w:top w:type="dxa" w:w="80"/>
              <w:left w:type="dxa" w:w="100"/>
              <w:bottom w:type="dxa" w:w="80"/>
              <w:right w:type="dxa" w:w="100"/>
            </w:tcMar>
            <w:vAlign w:val="center"/>
          </w:tcPr>
          <w:p>
            <w:r>
              <w:rPr>
                <w:b/>
                <w:bCs/>
                <w:color w:val="1F2937"/>
                <w:sz w:val="19"/>
                <w:szCs w:val="19"/>
              </w:rPr>
              <w:t xml:space="preserve">CORREGIDO</w:t>
            </w:r>
          </w:p>
        </w:tc>
      </w:tr>
      <w:tr>
        <w:tc>
          <w:tcPr>
            <w:tcW w:type="dxa" w:w="1800"/>
            <w:shd w:fill="FFFFFF" w:val="clear"/>
            <w:tcMar>
              <w:top w:type="dxa" w:w="80"/>
              <w:left w:type="dxa" w:w="100"/>
              <w:bottom w:type="dxa" w:w="80"/>
              <w:right w:type="dxa" w:w="100"/>
            </w:tcMar>
            <w:vAlign w:val="center"/>
          </w:tcPr>
          <w:p>
            <w:r>
              <w:rPr>
                <w:b/>
                <w:bCs/>
                <w:color w:val="1F2937"/>
                <w:sz w:val="19"/>
                <w:szCs w:val="19"/>
              </w:rPr>
              <w:t xml:space="preserve">#10, 19, 24, 43</w:t>
            </w:r>
          </w:p>
        </w:tc>
        <w:tc>
          <w:tcPr>
            <w:tcW w:type="dxa" w:w="1500"/>
            <w:shd w:fill="FFFFFF" w:val="clear"/>
            <w:tcMar>
              <w:top w:type="dxa" w:w="80"/>
              <w:left w:type="dxa" w:w="100"/>
              <w:bottom w:type="dxa" w:w="80"/>
              <w:right w:type="dxa" w:w="100"/>
            </w:tcMar>
            <w:vAlign w:val="center"/>
          </w:tcPr>
          <w:p>
            <w:r>
              <w:rPr>
                <w:b w:val="false"/>
                <w:bCs w:val="false"/>
                <w:color w:val="1F2937"/>
                <w:sz w:val="19"/>
                <w:szCs w:val="19"/>
              </w:rPr>
              <w:t xml:space="preserve">HIGH/LOW</w:t>
            </w:r>
          </w:p>
        </w:tc>
        <w:tc>
          <w:tcPr>
            <w:tcW w:type="dxa" w:w="5800"/>
            <w:shd w:fill="FFFFFF" w:val="clear"/>
            <w:tcMar>
              <w:top w:type="dxa" w:w="80"/>
              <w:left w:type="dxa" w:w="100"/>
              <w:bottom w:type="dxa" w:w="80"/>
              <w:right w:type="dxa" w:w="100"/>
            </w:tcMar>
            <w:vAlign w:val="center"/>
          </w:tcPr>
          <w:p>
            <w:r>
              <w:rPr>
                <w:b w:val="false"/>
                <w:bCs w:val="false"/>
                <w:color w:val="1F2937"/>
                <w:sz w:val="19"/>
                <w:szCs w:val="19"/>
              </w:rPr>
              <w:t xml:space="preserve">JWT alg:none / algorithm confusion RS256→HS256</w:t>
            </w:r>
          </w:p>
        </w:tc>
        <w:tc>
          <w:tcPr>
            <w:tcW w:type="dxa" w:w="2260"/>
            <w:shd w:fill="FFFFFF" w:val="clear"/>
            <w:tcMar>
              <w:top w:type="dxa" w:w="80"/>
              <w:left w:type="dxa" w:w="100"/>
              <w:bottom w:type="dxa" w:w="80"/>
              <w:right w:type="dxa" w:w="100"/>
            </w:tcMar>
            <w:vAlign w:val="center"/>
          </w:tcPr>
          <w:p>
            <w:r>
              <w:rPr>
                <w:b/>
                <w:bCs/>
                <w:color w:val="1F2937"/>
                <w:sz w:val="19"/>
                <w:szCs w:val="19"/>
              </w:rPr>
              <w:t xml:space="preserve">YA MITIGADO (verificado)</w:t>
            </w:r>
          </w:p>
        </w:tc>
      </w:tr>
      <w:tr>
        <w:tc>
          <w:tcPr>
            <w:tcW w:type="dxa" w:w="1800"/>
            <w:shd w:fill="F3F4F6" w:val="clear"/>
            <w:tcMar>
              <w:top w:type="dxa" w:w="80"/>
              <w:left w:type="dxa" w:w="100"/>
              <w:bottom w:type="dxa" w:w="80"/>
              <w:right w:type="dxa" w:w="100"/>
            </w:tcMar>
            <w:vAlign w:val="center"/>
          </w:tcPr>
          <w:p>
            <w:r>
              <w:rPr>
                <w:b/>
                <w:bCs/>
                <w:color w:val="1F2937"/>
                <w:sz w:val="19"/>
                <w:szCs w:val="19"/>
              </w:rPr>
              <w:t xml:space="preserve">#22</w:t>
            </w:r>
          </w:p>
        </w:tc>
        <w:tc>
          <w:tcPr>
            <w:tcW w:type="dxa" w:w="1500"/>
            <w:shd w:fill="F3F4F6" w:val="clear"/>
            <w:tcMar>
              <w:top w:type="dxa" w:w="80"/>
              <w:left w:type="dxa" w:w="100"/>
              <w:bottom w:type="dxa" w:w="80"/>
              <w:right w:type="dxa" w:w="100"/>
            </w:tcMar>
            <w:vAlign w:val="center"/>
          </w:tcPr>
          <w:p>
            <w:r>
              <w:rPr>
                <w:b w:val="false"/>
                <w:bCs w:val="false"/>
                <w:color w:val="1F2937"/>
                <w:sz w:val="19"/>
                <w:szCs w:val="19"/>
              </w:rPr>
              <w:t xml:space="preserve">HIGH</w:t>
            </w:r>
          </w:p>
        </w:tc>
        <w:tc>
          <w:tcPr>
            <w:tcW w:type="dxa" w:w="5800"/>
            <w:shd w:fill="F3F4F6" w:val="clear"/>
            <w:tcMar>
              <w:top w:type="dxa" w:w="80"/>
              <w:left w:type="dxa" w:w="100"/>
              <w:bottom w:type="dxa" w:w="80"/>
              <w:right w:type="dxa" w:w="100"/>
            </w:tcMar>
            <w:vAlign w:val="center"/>
          </w:tcPr>
          <w:p>
            <w:r>
              <w:rPr>
                <w:b w:val="false"/>
                <w:bCs w:val="false"/>
                <w:color w:val="1F2937"/>
                <w:sz w:val="19"/>
                <w:szCs w:val="19"/>
              </w:rPr>
              <w:t xml:space="preserve">Métodos HTTP no restringidos por endpoint</w:t>
            </w:r>
          </w:p>
        </w:tc>
        <w:tc>
          <w:tcPr>
            <w:tcW w:type="dxa" w:w="2260"/>
            <w:shd w:fill="F3F4F6" w:val="clear"/>
            <w:tcMar>
              <w:top w:type="dxa" w:w="80"/>
              <w:left w:type="dxa" w:w="100"/>
              <w:bottom w:type="dxa" w:w="80"/>
              <w:right w:type="dxa" w:w="100"/>
            </w:tcMar>
            <w:vAlign w:val="center"/>
          </w:tcPr>
          <w:p>
            <w:r>
              <w:rPr>
                <w:b/>
                <w:bCs/>
                <w:color w:val="1F2937"/>
                <w:sz w:val="19"/>
                <w:szCs w:val="19"/>
              </w:rPr>
              <w:t xml:space="preserve">YA MITIGADO (verificado)</w:t>
            </w:r>
          </w:p>
        </w:tc>
      </w:tr>
      <w:tr>
        <w:tc>
          <w:tcPr>
            <w:tcW w:type="dxa" w:w="1800"/>
            <w:shd w:fill="FFFFFF" w:val="clear"/>
            <w:tcMar>
              <w:top w:type="dxa" w:w="80"/>
              <w:left w:type="dxa" w:w="100"/>
              <w:bottom w:type="dxa" w:w="80"/>
              <w:right w:type="dxa" w:w="100"/>
            </w:tcMar>
            <w:vAlign w:val="center"/>
          </w:tcPr>
          <w:p>
            <w:r>
              <w:rPr>
                <w:b/>
                <w:bCs/>
                <w:color w:val="1F2937"/>
                <w:sz w:val="19"/>
                <w:szCs w:val="19"/>
              </w:rPr>
              <w:t xml:space="preserve">#18, 29, 34, 39</w:t>
            </w:r>
          </w:p>
        </w:tc>
        <w:tc>
          <w:tcPr>
            <w:tcW w:type="dxa" w:w="1500"/>
            <w:shd w:fill="FFFFFF" w:val="clear"/>
            <w:tcMar>
              <w:top w:type="dxa" w:w="80"/>
              <w:left w:type="dxa" w:w="100"/>
              <w:bottom w:type="dxa" w:w="80"/>
              <w:right w:type="dxa" w:w="100"/>
            </w:tcMar>
            <w:vAlign w:val="center"/>
          </w:tcPr>
          <w:p>
            <w:r>
              <w:rPr>
                <w:b w:val="false"/>
                <w:bCs w:val="false"/>
                <w:color w:val="1F2937"/>
                <w:sz w:val="19"/>
                <w:szCs w:val="19"/>
              </w:rPr>
              <w:t xml:space="preserve">HIGH/MED</w:t>
            </w:r>
          </w:p>
        </w:tc>
        <w:tc>
          <w:tcPr>
            <w:tcW w:type="dxa" w:w="5800"/>
            <w:shd w:fill="FFFFFF" w:val="clear"/>
            <w:tcMar>
              <w:top w:type="dxa" w:w="80"/>
              <w:left w:type="dxa" w:w="100"/>
              <w:bottom w:type="dxa" w:w="80"/>
              <w:right w:type="dxa" w:w="100"/>
            </w:tcMar>
            <w:vAlign w:val="center"/>
          </w:tcPr>
          <w:p>
            <w:r>
              <w:rPr>
                <w:b w:val="false"/>
                <w:bCs w:val="false"/>
                <w:color w:val="1F2937"/>
                <w:sz w:val="19"/>
                <w:szCs w:val="19"/>
              </w:rPr>
              <w:t xml:space="preserve">Rate limiting ausente o bypasseable</w:t>
            </w:r>
          </w:p>
        </w:tc>
        <w:tc>
          <w:tcPr>
            <w:tcW w:type="dxa" w:w="2260"/>
            <w:shd w:fill="FFFFFF" w:val="clear"/>
            <w:tcMar>
              <w:top w:type="dxa" w:w="80"/>
              <w:left w:type="dxa" w:w="100"/>
              <w:bottom w:type="dxa" w:w="80"/>
              <w:right w:type="dxa" w:w="100"/>
            </w:tcMar>
            <w:vAlign w:val="center"/>
          </w:tcPr>
          <w:p>
            <w:r>
              <w:rPr>
                <w:b/>
                <w:bCs/>
                <w:color w:val="1F2937"/>
                <w:sz w:val="19"/>
                <w:szCs w:val="19"/>
              </w:rPr>
              <w:t xml:space="preserve">YA IMPLEMENTADO (contradice al propio reporte)</w:t>
            </w:r>
          </w:p>
        </w:tc>
      </w:tr>
      <w:tr>
        <w:tc>
          <w:tcPr>
            <w:tcW w:type="dxa" w:w="1800"/>
            <w:shd w:fill="F3F4F6" w:val="clear"/>
            <w:tcMar>
              <w:top w:type="dxa" w:w="80"/>
              <w:left w:type="dxa" w:w="100"/>
              <w:bottom w:type="dxa" w:w="80"/>
              <w:right w:type="dxa" w:w="100"/>
            </w:tcMar>
            <w:vAlign w:val="center"/>
          </w:tcPr>
          <w:p>
            <w:r>
              <w:rPr>
                <w:b/>
                <w:bCs/>
                <w:color w:val="1F2937"/>
                <w:sz w:val="19"/>
                <w:szCs w:val="19"/>
              </w:rPr>
              <w:t xml:space="preserve">#23</w:t>
            </w:r>
          </w:p>
        </w:tc>
        <w:tc>
          <w:tcPr>
            <w:tcW w:type="dxa" w:w="1500"/>
            <w:shd w:fill="F3F4F6" w:val="clear"/>
            <w:tcMar>
              <w:top w:type="dxa" w:w="80"/>
              <w:left w:type="dxa" w:w="100"/>
              <w:bottom w:type="dxa" w:w="80"/>
              <w:right w:type="dxa" w:w="100"/>
            </w:tcMar>
            <w:vAlign w:val="center"/>
          </w:tcPr>
          <w:p>
            <w:r>
              <w:rPr>
                <w:b w:val="false"/>
                <w:bCs w:val="false"/>
                <w:color w:val="1F2937"/>
                <w:sz w:val="19"/>
                <w:szCs w:val="19"/>
              </w:rPr>
              <w:t xml:space="preserve">HIGH</w:t>
            </w:r>
          </w:p>
        </w:tc>
        <w:tc>
          <w:tcPr>
            <w:tcW w:type="dxa" w:w="5800"/>
            <w:shd w:fill="F3F4F6" w:val="clear"/>
            <w:tcMar>
              <w:top w:type="dxa" w:w="80"/>
              <w:left w:type="dxa" w:w="100"/>
              <w:bottom w:type="dxa" w:w="80"/>
              <w:right w:type="dxa" w:w="100"/>
            </w:tcMar>
            <w:vAlign w:val="center"/>
          </w:tcPr>
          <w:p>
            <w:r>
              <w:rPr>
                <w:b w:val="false"/>
                <w:bCs w:val="false"/>
                <w:color w:val="1F2937"/>
                <w:sz w:val="19"/>
                <w:szCs w:val="19"/>
              </w:rPr>
              <w:t xml:space="preserve">Inyección SQL/NoSQL en parámetros de consulta</w:t>
            </w:r>
          </w:p>
        </w:tc>
        <w:tc>
          <w:tcPr>
            <w:tcW w:type="dxa" w:w="2260"/>
            <w:shd w:fill="F3F4F6" w:val="clear"/>
            <w:tcMar>
              <w:top w:type="dxa" w:w="80"/>
              <w:left w:type="dxa" w:w="100"/>
              <w:bottom w:type="dxa" w:w="80"/>
              <w:right w:type="dxa" w:w="100"/>
            </w:tcMar>
            <w:vAlign w:val="center"/>
          </w:tcPr>
          <w:p>
            <w:r>
              <w:rPr>
                <w:b/>
                <w:bCs/>
                <w:color w:val="1F2937"/>
                <w:sz w:val="19"/>
                <w:szCs w:val="19"/>
              </w:rPr>
              <w:t xml:space="preserve">NO APLICA (arquitectura no expone query params ni SQL concatenado)</w:t>
            </w:r>
          </w:p>
        </w:tc>
      </w:tr>
      <w:tr>
        <w:tc>
          <w:tcPr>
            <w:tcW w:type="dxa" w:w="1800"/>
            <w:shd w:fill="FFFFFF" w:val="clear"/>
            <w:tcMar>
              <w:top w:type="dxa" w:w="80"/>
              <w:left w:type="dxa" w:w="100"/>
              <w:bottom w:type="dxa" w:w="80"/>
              <w:right w:type="dxa" w:w="100"/>
            </w:tcMar>
            <w:vAlign w:val="center"/>
          </w:tcPr>
          <w:p>
            <w:r>
              <w:rPr>
                <w:b/>
                <w:bCs/>
                <w:color w:val="1F2937"/>
                <w:sz w:val="19"/>
                <w:szCs w:val="19"/>
              </w:rPr>
              <w:t xml:space="preserve">#25, 32, 34(dup)</w:t>
            </w:r>
          </w:p>
        </w:tc>
        <w:tc>
          <w:tcPr>
            <w:tcW w:type="dxa" w:w="1500"/>
            <w:shd w:fill="FFFFFF" w:val="clear"/>
            <w:tcMar>
              <w:top w:type="dxa" w:w="80"/>
              <w:left w:type="dxa" w:w="100"/>
              <w:bottom w:type="dxa" w:w="80"/>
              <w:right w:type="dxa" w:w="100"/>
            </w:tcMar>
            <w:vAlign w:val="center"/>
          </w:tcPr>
          <w:p>
            <w:r>
              <w:rPr>
                <w:b w:val="false"/>
                <w:bCs w:val="false"/>
                <w:color w:val="1F2937"/>
                <w:sz w:val="19"/>
                <w:szCs w:val="19"/>
              </w:rPr>
              <w:t xml:space="preserve">MEDIUM</w:t>
            </w:r>
          </w:p>
        </w:tc>
        <w:tc>
          <w:tcPr>
            <w:tcW w:type="dxa" w:w="5800"/>
            <w:shd w:fill="FFFFFF" w:val="clear"/>
            <w:tcMar>
              <w:top w:type="dxa" w:w="80"/>
              <w:left w:type="dxa" w:w="100"/>
              <w:bottom w:type="dxa" w:w="80"/>
              <w:right w:type="dxa" w:w="100"/>
            </w:tcMar>
            <w:vAlign w:val="center"/>
          </w:tcPr>
          <w:p>
            <w:r>
              <w:rPr>
                <w:b w:val="false"/>
                <w:bCs w:val="false"/>
                <w:color w:val="1F2937"/>
                <w:sz w:val="19"/>
                <w:szCs w:val="19"/>
              </w:rPr>
              <w:t xml:space="preserve">Cifrado AES de aplicación con clave estática</w:t>
            </w:r>
          </w:p>
        </w:tc>
        <w:tc>
          <w:tcPr>
            <w:tcW w:type="dxa" w:w="2260"/>
            <w:shd w:fill="FFFFFF" w:val="clear"/>
            <w:tcMar>
              <w:top w:type="dxa" w:w="80"/>
              <w:left w:type="dxa" w:w="100"/>
              <w:bottom w:type="dxa" w:w="80"/>
              <w:right w:type="dxa" w:w="100"/>
            </w:tcMar>
            <w:vAlign w:val="center"/>
          </w:tcPr>
          <w:p>
            <w:r>
              <w:rPr>
                <w:b/>
                <w:bCs/>
                <w:color w:val="1F2937"/>
                <w:sz w:val="19"/>
                <w:szCs w:val="19"/>
              </w:rPr>
              <w:t xml:space="preserve">DECISIÓN DE DISEÑO — se mantiene, ver §4.1</w:t>
            </w:r>
          </w:p>
        </w:tc>
      </w:tr>
      <w:tr>
        <w:tc>
          <w:tcPr>
            <w:tcW w:type="dxa" w:w="1800"/>
            <w:shd w:fill="F3F4F6" w:val="clear"/>
            <w:tcMar>
              <w:top w:type="dxa" w:w="80"/>
              <w:left w:type="dxa" w:w="100"/>
              <w:bottom w:type="dxa" w:w="80"/>
              <w:right w:type="dxa" w:w="100"/>
            </w:tcMar>
            <w:vAlign w:val="center"/>
          </w:tcPr>
          <w:p>
            <w:r>
              <w:rPr>
                <w:b/>
                <w:bCs/>
                <w:color w:val="1F2937"/>
                <w:sz w:val="19"/>
                <w:szCs w:val="19"/>
              </w:rPr>
              <w:t xml:space="preserve">#42</w:t>
            </w:r>
          </w:p>
        </w:tc>
        <w:tc>
          <w:tcPr>
            <w:tcW w:type="dxa" w:w="1500"/>
            <w:shd w:fill="F3F4F6" w:val="clear"/>
            <w:tcMar>
              <w:top w:type="dxa" w:w="80"/>
              <w:left w:type="dxa" w:w="100"/>
              <w:bottom w:type="dxa" w:w="80"/>
              <w:right w:type="dxa" w:w="100"/>
            </w:tcMar>
            <w:vAlign w:val="center"/>
          </w:tcPr>
          <w:p>
            <w:r>
              <w:rPr>
                <w:b w:val="false"/>
                <w:bCs w:val="false"/>
                <w:color w:val="1F2937"/>
                <w:sz w:val="19"/>
                <w:szCs w:val="19"/>
              </w:rPr>
              <w:t xml:space="preserve">LOW</w:t>
            </w:r>
          </w:p>
        </w:tc>
        <w:tc>
          <w:tcPr>
            <w:tcW w:type="dxa" w:w="5800"/>
            <w:shd w:fill="F3F4F6" w:val="clear"/>
            <w:tcMar>
              <w:top w:type="dxa" w:w="80"/>
              <w:left w:type="dxa" w:w="100"/>
              <w:bottom w:type="dxa" w:w="80"/>
              <w:right w:type="dxa" w:w="100"/>
            </w:tcMar>
            <w:vAlign w:val="center"/>
          </w:tcPr>
          <w:p>
            <w:r>
              <w:rPr>
                <w:b w:val="false"/>
                <w:bCs w:val="false"/>
                <w:color w:val="1F2937"/>
                <w:sz w:val="19"/>
                <w:szCs w:val="19"/>
              </w:rPr>
              <w:t xml:space="preserve">Formato de error revela el framework backend</w:t>
            </w:r>
          </w:p>
        </w:tc>
        <w:tc>
          <w:tcPr>
            <w:tcW w:type="dxa" w:w="2260"/>
            <w:shd w:fill="F3F4F6" w:val="clear"/>
            <w:tcMar>
              <w:top w:type="dxa" w:w="80"/>
              <w:left w:type="dxa" w:w="100"/>
              <w:bottom w:type="dxa" w:w="80"/>
              <w:right w:type="dxa" w:w="100"/>
            </w:tcMar>
            <w:vAlign w:val="center"/>
          </w:tcPr>
          <w:p>
            <w:r>
              <w:rPr>
                <w:b/>
                <w:bCs/>
                <w:color w:val="1F2937"/>
                <w:sz w:val="19"/>
                <w:szCs w:val="19"/>
              </w:rPr>
              <w:t xml:space="preserve">DECISIÓN DE DISEÑO — contrato congelado, ver §4.2</w:t>
            </w:r>
          </w:p>
        </w:tc>
      </w:tr>
    </w:tbl>
    <w:p>
      <w:pPr>
        <w:spacing w:before="200"/>
      </w:pPr>
    </w:p>
    <w:p>
      <w:pPr>
        <w:pStyle w:val="Heading2"/>
        <w:spacing w:after="120" w:before="260"/>
      </w:pPr>
      <w:r>
        <w:rPr>
          <w:b/>
          <w:bCs/>
          <w:color w:val="1F2937"/>
          <w:sz w:val="24"/>
          <w:szCs w:val="24"/>
        </w:rPr>
        <w:t xml:space="preserve">2.1 Orden de middleware: autenticación antes de descifrado de payload</w:t>
      </w:r>
    </w:p>
    <w:p>
      <w:pPr>
        <w:spacing w:after="140" w:line="300"/>
      </w:pPr>
      <w:r>
        <w:rPr>
          <w:b/>
          <w:bCs/>
          <w:color w:val="FFFFFF"/>
          <w:sz w:val="18"/>
          <w:szCs w:val="18"/>
          <w:shd w:fill="C2410C" w:val="clear"/>
        </w:rPr>
        <w:t xml:space="preserve">  HIGH  </w:t>
      </w:r>
      <w:r>
        <w:rPr>
          <w:i/>
          <w:iCs/>
          <w:sz w:val="19"/>
          <w:szCs w:val="19"/>
        </w:rPr>
        <w:t xml:space="preserve">   Hallazgos #11 (Data Leakage en 401), #12 (Auth Bypass via RequestJson — CWE-287), #13 y #30 (JWT expirado procesado antes de rechazar)</w:t>
      </w:r>
    </w:p>
    <w:p>
      <w:pPr>
        <w:spacing w:after="140" w:line="300"/>
      </w:pPr>
      <w:r>
        <w:rPr>
          <w:color w:val="1F2937"/>
          <w:sz w:val="21"/>
          <w:szCs w:val="21"/>
        </w:rPr>
        <w:t xml:space="preserve">Antes: en src/index.ts, el middleware de cifrado P2C (payload-crypto.middleware.ts) se montaba globalmente ANTES de que el router llegara a los guards de autenticación (auth.middleware.ts) y país (country.middleware.ts), que vivían dentro de cada sub-router de negocio (catalogs, employee, position...). Como resultado: una solicitud sin token, pero con un campo RequestJson (aunque fuera basura), recibía 400 "Invalid encrypted payload" en vez de 401 — el atacante podía distinguir "esta ruta procesa cifrado" sin necesidad de autenticarse. Y cuando el RequestJson sí desciframaba correctamente, la respuesta 401 posterior (lanzada ya dentro del guard) salía envuelta en el mismo ResponseJson cifrado que una respuesta exitosa.</w:t>
      </w:r>
    </w:p>
    <w:p>
      <w:pPr>
        <w:spacing w:after="140" w:line="300"/>
      </w:pPr>
      <w:r>
        <w:rPr>
          <w:color w:val="1F2937"/>
          <w:sz w:val="21"/>
          <w:szCs w:val="21"/>
        </w:rPr>
        <w:t xml:space="preserve">Después: se reestructuró src/interfaces/routes/index.route.ts para que el gate de autenticación (authMiddleware + countryMiddleware) corra primero — inmediatamente después de excluir la ruta pública /security/token — y solo entonces se monta payloadCryptoMiddleware. Ambos middlewares de auth solo leen headers (Authorization, X-Country-Code), nunca el body, así que este reordenamiento no cambia su comportamiento, solo su prioridad.</w:t>
      </w:r>
    </w:p>
    <w:p>
      <w:pPr>
        <w:shd w:fill="111827" w:val="clear"/>
        <w:spacing w:after="140"/>
      </w:pPr>
      <w:r>
        <w:rPr>
          <w:rFonts w:ascii="Consolas" w:cs="Consolas" w:eastAsia="Consolas" w:hAnsi="Consolas"/>
          <w:color w:val="D1FAE5"/>
          <w:sz w:val="18"/>
          <w:szCs w:val="18"/>
        </w:rPr>
        <w:t xml:space="preserve">Antes (index.ts):  helmet → body parsers → payloadCryptoMiddleware (global) → cors → ... → apiRouter (auth adentro, por ruta)
Después (index.route.ts):  /security/token (público) → authMiddleware + countryMiddleware → payloadCryptoMiddleware → catalogs/employee/...</w:t>
      </w:r>
    </w:p>
    <w:p>
      <w:pPr>
        <w:spacing w:after="140" w:line="300"/>
      </w:pPr>
      <w:r>
        <w:rPr>
          <w:color w:val="1F2937"/>
          <w:sz w:val="21"/>
          <w:szCs w:val="21"/>
        </w:rPr>
        <w:t xml:space="preserve">Verificación: se probó en vivo (FAKE_DB) un POST a /catalogs/validate-reentry sin header Authorization y con RequestJson=CUALQUIER_VALOR. Antes del fix: 400 "Invalid encrypted payload". Después del fix: 401 "Unauthorized", cuerpo en texto plano. Se corrió la suite completa (9 unit + 30 e2e) y todo sigue pasando — el flujo normal autenticado no cambió.</w:t>
      </w:r>
    </w:p>
    <w:p>
      <w:pPr>
        <w:pStyle w:val="Heading2"/>
        <w:spacing w:after="120" w:before="260"/>
      </w:pPr>
      <w:r>
        <w:rPr>
          <w:b/>
          <w:bCs/>
          <w:color w:val="1F2937"/>
          <w:sz w:val="24"/>
          <w:szCs w:val="24"/>
        </w:rPr>
        <w:t xml:space="preserve">2.2 Cabeceras de seguridad HTTP</w:t>
      </w:r>
    </w:p>
    <w:p>
      <w:pPr>
        <w:spacing w:after="140" w:line="300"/>
      </w:pPr>
      <w:r>
        <w:rPr>
          <w:b/>
          <w:bCs/>
          <w:color w:val="FFFFFF"/>
          <w:sz w:val="18"/>
          <w:szCs w:val="18"/>
          <w:shd w:fill="A16207" w:val="clear"/>
        </w:rPr>
        <w:t xml:space="preserve">  MEDIUM  </w:t>
      </w:r>
      <w:r>
        <w:rPr>
          <w:i/>
          <w:iCs/>
          <w:sz w:val="19"/>
          <w:szCs w:val="19"/>
        </w:rPr>
        <w:t xml:space="preserve">   Hallazgos #15, #33, #36, #38, #41, #45, #50</w:t>
      </w:r>
    </w:p>
    <w:p>
      <w:pPr>
        <w:spacing w:after="140" w:line="300"/>
      </w:pPr>
      <w:r>
        <w:rPr>
          <w:color w:val="1F2937"/>
          <w:sz w:val="21"/>
          <w:szCs w:val="21"/>
        </w:rPr>
        <w:t xml:space="preserve">El proyecto ya usaba helmet (HSTS, CSP, X-Content-Type-Options, X-Frame-Options, Referrer-Policy) — el reporte lo confirma en el hallazgo #50 al listar esas cabeceras como presentes. Faltaban dos: Permissions-Policy (helmet dejó de incluirla hace varias versiones) y Cache-Control: no-store en las respuestas de /ftd-spi-employee/rest/** (catálogos, empleados, nómina — datos que no deben quedar cacheados en proxies intermedios).</w:t>
      </w:r>
    </w:p>
    <w:p>
      <w:pPr>
        <w:spacing w:after="140" w:line="300"/>
      </w:pPr>
      <w:r>
        <w:rPr>
          <w:color w:val="1F2937"/>
          <w:sz w:val="21"/>
          <w:szCs w:val="21"/>
        </w:rPr>
        <w:t xml:space="preserve">Se agregaron ambas en src/index.ts: Permissions-Policy con todas las APIs del navegador denegadas (camera=(), microphone=(), geolocation=(), payment=()) — esta API no usa ninguna — y Cache-Control: no-store para todo lo que cuelga de /ftd-spi-employee/rest.</w:t>
      </w:r>
    </w:p>
    <w:p>
      <w:pPr>
        <w:shd w:fill="111827" w:val="clear"/>
        <w:spacing w:after="140"/>
      </w:pPr>
      <w:r>
        <w:rPr>
          <w:rFonts w:ascii="Consolas" w:cs="Consolas" w:eastAsia="Consolas" w:hAnsi="Consolas"/>
          <w:color w:val="D1FAE5"/>
          <w:sz w:val="18"/>
          <w:szCs w:val="18"/>
        </w:rPr>
        <w:t xml:space="preserve">Permissions-Policy: camera=(), microphone=(), geolocation=(), payment=()
Cache-Control: no-store</w:t>
      </w:r>
    </w:p>
    <w:p>
      <w:pPr>
        <w:pStyle w:val="Heading2"/>
        <w:spacing w:after="120" w:before="260"/>
      </w:pPr>
      <w:r>
        <w:rPr>
          <w:b/>
          <w:bCs/>
          <w:color w:val="1F2937"/>
          <w:sz w:val="24"/>
          <w:szCs w:val="24"/>
        </w:rPr>
        <w:t xml:space="preserve">2.3 CORS: métodos innecesarios y riesgo de orígenes de desarrollo en producción</w:t>
      </w:r>
    </w:p>
    <w:p>
      <w:pPr>
        <w:spacing w:after="140" w:line="300"/>
      </w:pPr>
      <w:r>
        <w:rPr>
          <w:b/>
          <w:bCs/>
          <w:color w:val="FFFFFF"/>
          <w:sz w:val="18"/>
          <w:szCs w:val="18"/>
          <w:shd w:fill="C2410C" w:val="clear"/>
        </w:rPr>
        <w:t xml:space="preserve">  HIGH  </w:t>
      </w:r>
      <w:r>
        <w:rPr>
          <w:i/>
          <w:iCs/>
          <w:sz w:val="19"/>
          <w:szCs w:val="19"/>
        </w:rPr>
        <w:t xml:space="preserve">   Hallazgos #16, #21, #26, #28, #31, #37, #42</w:t>
      </w:r>
    </w:p>
    <w:p>
      <w:pPr>
        <w:spacing w:after="140" w:line="300"/>
      </w:pPr>
      <w:r>
        <w:rPr>
          <w:color w:val="1F2937"/>
          <w:sz w:val="21"/>
          <w:szCs w:val="21"/>
        </w:rPr>
        <w:t xml:space="preserve">La API ya restringía CORS a una whitelist explícita vía la variable de entorno CORS_ORIGINS (nunca usa wildcard "*" ni refleja cualquier Origin — el paquete cors solo hace eco del Origin si está en la lista, que es el comportamiento correcto). Dos problemas reales:</w:t>
      </w:r>
    </w:p>
    <w:p>
      <w:pPr>
        <w:pStyle w:val="ListParagraph"/>
        <w:numPr>
          <w:ilvl w:val="0"/>
          <w:numId w:val="2"/>
        </w:numPr>
        <w:spacing w:after="80" w:line="280"/>
      </w:pPr>
      <w:r>
        <w:rPr>
          <w:color w:val="1F2937"/>
          <w:sz w:val="21"/>
          <w:szCs w:val="21"/>
        </w:rPr>
        <w:t xml:space="preserve">El reporte capturó access-control-allow-methods incluyendo PUT, DELETE y PATCH — pero ningún endpoint de esta API usa esos métodos (todo es GET para /health y POST para el resto). Se redujo methods a [GET, POST, OPTIONS] en la config de cors().</w:t>
      </w:r>
    </w:p>
    <w:p>
      <w:pPr>
        <w:pStyle w:val="ListParagraph"/>
        <w:numPr>
          <w:ilvl w:val="0"/>
          <w:numId w:val="2"/>
        </w:numPr>
        <w:spacing w:after="80" w:line="280"/>
      </w:pPr>
      <w:r>
        <w:rPr>
          <w:color w:val="1F2937"/>
          <w:sz w:val="21"/>
          <w:szCs w:val="21"/>
        </w:rPr>
        <w:t xml:space="preserve">El reporte capturó http://localhost:3000 y http://localhost:4200 respondiendo con Access-Control-Allow-Credentials: true en el ambiente de producción (hallazgo #31) — eso indica que el valor desplegado de CORS_ORIGINS en ese ambiente incluye orígenes de desarrollo. Es una corrección de configuración de despliegue, no de código; como defensa adicional, se agregó un filtro en src/config/configuration.ts que descarta cualquier origen localhost/127.0.0.1 cuando NODE_ENV=production, aunque llegue a estar en la variable de entorno.</w:t>
      </w:r>
    </w:p>
    <w:p>
      <w:pPr>
        <w:spacing w:after="140" w:line="300"/>
      </w:pPr>
      <w:r>
        <w:rPr>
          <w:color w:val="1F2937"/>
          <w:sz w:val="21"/>
          <w:szCs w:val="21"/>
        </w:rPr>
        <w:t xml:space="preserve">Acción pendiente fuera de este repo: quitar localhost:3000 y localhost:4200 del valor real de CORS_ORIGINS en el ambiente de producción — el filtro de código es una red de seguridad, no reemplaza corregir la variable.</w:t>
      </w:r>
    </w:p>
    <w:p>
      <w:pPr>
        <w:pStyle w:val="Heading2"/>
        <w:spacing w:after="120" w:before="260"/>
      </w:pPr>
      <w:r>
        <w:rPr>
          <w:b/>
          <w:bCs/>
          <w:color w:val="1F2937"/>
          <w:sz w:val="24"/>
          <w:szCs w:val="24"/>
        </w:rPr>
        <w:t xml:space="preserve">2.4 Enumeración por respuesta diferencial: ruta desconocida ahora también da 401</w:t>
      </w:r>
    </w:p>
    <w:p>
      <w:pPr>
        <w:spacing w:after="140" w:line="300"/>
      </w:pPr>
      <w:r>
        <w:rPr>
          <w:b/>
          <w:bCs/>
          <w:color w:val="FFFFFF"/>
          <w:sz w:val="18"/>
          <w:szCs w:val="18"/>
          <w:shd w:fill="A16207" w:val="clear"/>
        </w:rPr>
        <w:t xml:space="preserve">  MEDIUM  </w:t>
      </w:r>
      <w:r>
        <w:rPr>
          <w:i/>
          <w:iCs/>
          <w:sz w:val="19"/>
          <w:szCs w:val="19"/>
        </w:rPr>
        <w:t xml:space="preserve">   Hallazgo #27</w:t>
      </w:r>
    </w:p>
    <w:p>
      <w:pPr>
        <w:spacing w:after="140" w:line="300"/>
      </w:pPr>
      <w:r>
        <w:rPr>
          <w:color w:val="1F2937"/>
          <w:sz w:val="21"/>
          <w:szCs w:val="21"/>
        </w:rPr>
        <w:t xml:space="preserve">Efecto colateral directo del fix de la sección 2.1: antes, el gate de auth vivía dentro de cada router de negocio (catalogs, employee...), así que una ruta que no existe (ej. /rest/does-not-exist) nunca lo atravesaba y caía directo al 404 — mientras que una ruta real sin token daba 401. Esa diferencia le permitía a un atacante enumerar qué endpoints existen sin autenticarse. Ahora que el gate de auth+país es global sobre /ftd-spi-employee/rest/**, CUALQUIER solicitud sin token da 401 primero — exista o no la ruta — y solo con un token válido se distingue si la ruta existe (404) o no.</w:t>
      </w:r>
    </w:p>
    <w:p>
      <w:pPr>
        <w:spacing w:after="140" w:line="300"/>
      </w:pPr>
      <w:r>
        <w:rPr>
          <w:color w:val="1F2937"/>
          <w:sz w:val="21"/>
          <w:szCs w:val="21"/>
        </w:rPr>
        <w:t xml:space="preserve">Verificación: POST a /ftd-spi-employee/rest/does-not-exist sin token → 401 (antes: 404). La misma ruta con token válido → sigue en 404, comportamiento correcto intacto.</w:t>
      </w:r>
    </w:p>
    <w:p>
      <w:pPr>
        <w:pStyle w:val="Heading2"/>
        <w:spacing w:after="120" w:before="260"/>
      </w:pPr>
      <w:r>
        <w:rPr>
          <w:b/>
          <w:bCs/>
          <w:color w:val="1F2937"/>
          <w:sz w:val="24"/>
          <w:szCs w:val="24"/>
        </w:rPr>
        <w:t xml:space="preserve">2.5 trust proxy: IP real del cliente para rate limiting</w:t>
      </w:r>
    </w:p>
    <w:p>
      <w:pPr>
        <w:spacing w:after="140" w:line="300"/>
      </w:pPr>
      <w:r>
        <w:rPr>
          <w:i/>
          <w:iCs/>
          <w:sz w:val="19"/>
          <w:szCs w:val="19"/>
        </w:rPr>
        <w:t xml:space="preserve">   Relacionado con hallazgos #29/#34 (rate limiting y X-Forwarded-For)</w:t>
      </w:r>
    </w:p>
    <w:p>
      <w:pPr>
        <w:spacing w:after="140" w:line="300"/>
      </w:pPr>
      <w:r>
        <w:rPr>
          <w:color w:val="1F2937"/>
          <w:sz w:val="21"/>
          <w:szCs w:val="21"/>
        </w:rPr>
        <w:t xml:space="preserve">Express no tenía configurado trust proxy. Detrás de App Engine (un único proxy de confianza, el Google Frontend) esto tiene dos efectos no deseados: (a) sin trust proxy, req.ip resuelve a la dirección del propio GFE para todas las solicitudes, lo que colapsaría los cupos por IP de express-rate-limit en un solo cupo compartido por todos los clientes; o (b) si se hubiera puesto trust proxy en true a secas, Express confiaría ciegamente en cualquier cadena X-Forwarded-For que mande el cliente, permitiendo spoofear la IP de origen. Se configuró app.set('trust proxy', 1) — confía exactamente en el salto que agrega el GFE, ni cero ni "todos".</w:t>
      </w:r>
    </w:p>
    <w:p>
      <w:pPr>
        <w:pStyle w:val="Heading2"/>
        <w:spacing w:after="120" w:before="260"/>
      </w:pPr>
      <w:r>
        <w:rPr>
          <w:b/>
          <w:bCs/>
          <w:color w:val="1F2937"/>
          <w:sz w:val="24"/>
          <w:szCs w:val="24"/>
        </w:rPr>
        <w:t xml:space="preserve">2.6 Cifrado de payload: fallo cerrado en vez de fallo abierto</w:t>
      </w:r>
    </w:p>
    <w:p>
      <w:pPr>
        <w:spacing w:after="140" w:line="300"/>
      </w:pPr>
      <w:r>
        <w:rPr>
          <w:i/>
          <w:iCs/>
          <w:sz w:val="19"/>
          <w:szCs w:val="19"/>
        </w:rPr>
        <w:t xml:space="preserve">   Hallazgo propio, detectado al auditar el código de payload-crypto.middleware.ts</w:t>
      </w:r>
    </w:p>
    <w:p>
      <w:pPr>
        <w:spacing w:after="140" w:line="300"/>
      </w:pPr>
      <w:r>
        <w:rPr>
          <w:color w:val="1F2937"/>
          <w:sz w:val="21"/>
          <w:szCs w:val="21"/>
        </w:rPr>
        <w:t xml:space="preserve">Se encontró, auditando el propio middleware de cifrado, que si REQUIRE_ENCRYPTED_PAYLOAD=true pero PAYLOAD_ENCRYPTION_KEY (o AES_SECRET_KEY) queda vacío por error de configuración, la condición que exige el cifrado también depende de que la clave exista — así que con la clave vacía, el middleware simplemente dejaba pasar cualquier request en texto plano, sin avisar a nadie, exactamente cuando se le había pedido lo contrario. Se agregó una comprobación explícita: si se pide cifrado obligatorio y no hay clave configurada, la API responde 500 "Server misconfiguration" en vez de aceptar tráfico de negocio sin cifrar en silencio. Las rutas exentas (/health, /security/token) no se ven afectadas.</w:t>
      </w:r>
    </w:p>
    <w:p>
      <w:pPr>
        <w:spacing w:after="140" w:line="300"/>
      </w:pPr>
      <w:r>
        <w:rPr>
          <w:color w:val="1F2937"/>
          <w:sz w:val="21"/>
          <w:szCs w:val="21"/>
        </w:rPr>
        <w:t xml:space="preserve">Verificación en vivo: con REQUIRE_ENCRYPTED_PAYLOAD=true y PAYLOAD_ENCRYPTION_KEY="", un request autenticado y bien formado a /catalogs/countries/list ahora da 500 en vez de 200 con datos sin cifrar.</w:t>
      </w:r>
    </w:p>
    <w:p>
      <w:pPr>
        <w:pageBreakBefore/>
      </w:pPr>
    </w:p>
    <w:p>
      <w:pPr>
        <w:pStyle w:val="Heading1"/>
        <w:spacing w:after="160" w:before="320"/>
      </w:pPr>
      <w:r>
        <w:rPr>
          <w:b/>
          <w:bCs/>
          <w:color w:val="1F2937"/>
          <w:sz w:val="30"/>
          <w:szCs w:val="30"/>
        </w:rPr>
        <w:t xml:space="preserve">3. Hallazgos verificados como ya mitigados</w:t>
      </w:r>
    </w:p>
    <w:p>
      <w:pPr>
        <w:spacing w:after="140" w:line="300"/>
      </w:pPr>
      <w:r>
        <w:rPr>
          <w:color w:val="1F2937"/>
          <w:sz w:val="21"/>
          <w:szCs w:val="21"/>
        </w:rPr>
        <w:t xml:space="preserve">Estos hallazgos del reporte ya estaban resueltos en el código antes de este ciclo. Se listan porque conviene que el equipo de seguridad sepa que se auditaron explícitamente, no que se ignoraron.</w:t>
      </w:r>
    </w:p>
    <w:p>
      <w:pPr>
        <w:pStyle w:val="Heading2"/>
        <w:spacing w:after="120" w:before="260"/>
      </w:pPr>
      <w:r>
        <w:rPr>
          <w:b/>
          <w:bCs/>
          <w:color w:val="1F2937"/>
          <w:sz w:val="24"/>
          <w:szCs w:val="24"/>
        </w:rPr>
        <w:t xml:space="preserve">3.1 JWT alg:none / algorithm confusion (RS256 → HS256)</w:t>
      </w:r>
    </w:p>
    <w:p>
      <w:pPr>
        <w:spacing w:after="140" w:line="300"/>
      </w:pPr>
      <w:r>
        <w:rPr>
          <w:b/>
          <w:bCs/>
          <w:color w:val="FFFFFF"/>
          <w:sz w:val="18"/>
          <w:szCs w:val="18"/>
          <w:shd w:fill="C2410C" w:val="clear"/>
        </w:rPr>
        <w:t xml:space="preserve">  HIGH  </w:t>
      </w:r>
      <w:r>
        <w:rPr>
          <w:i/>
          <w:iCs/>
          <w:sz w:val="19"/>
          <w:szCs w:val="19"/>
        </w:rPr>
        <w:t xml:space="preserve">   Hallazgos #10, #19, #24, #43</w:t>
      </w:r>
    </w:p>
    <w:p>
      <w:pPr>
        <w:spacing w:after="140" w:line="300"/>
      </w:pPr>
      <w:r>
        <w:rPr>
          <w:color w:val="1F2937"/>
          <w:sz w:val="21"/>
          <w:szCs w:val="21"/>
        </w:rPr>
        <w:t xml:space="preserve">src/interfaces/middlewares/auth.middleware.ts llama a jsonwebtoken.verify() con la opción algorithms: ['RS256'] explícita. Esa librería, cuando se le pasa esa opción, rechaza de raíz cualquier token cuyo header diga alg:none o alg:HS256 (no llega ni a intentar validar la firma) — es exactamente la mitigación que el propio reporte recomienda en su sección de remediación. El propio hallazgo #43 confirma en su evidencia que el ataque alg:none "fue rechazado correctamente (HTTP 401)".</w:t>
      </w:r>
    </w:p>
    <w:p>
      <w:pPr>
        <w:pStyle w:val="Heading2"/>
        <w:spacing w:after="120" w:before="260"/>
      </w:pPr>
      <w:r>
        <w:rPr>
          <w:b/>
          <w:bCs/>
          <w:color w:val="1F2937"/>
          <w:sz w:val="24"/>
          <w:szCs w:val="24"/>
        </w:rPr>
        <w:t xml:space="preserve">3.2 Métodos HTTP no restringidos</w:t>
      </w:r>
    </w:p>
    <w:p>
      <w:pPr>
        <w:spacing w:after="140" w:line="300"/>
      </w:pPr>
      <w:r>
        <w:rPr>
          <w:b/>
          <w:bCs/>
          <w:color w:val="FFFFFF"/>
          <w:sz w:val="18"/>
          <w:szCs w:val="18"/>
          <w:shd w:fill="C2410C" w:val="clear"/>
        </w:rPr>
        <w:t xml:space="preserve">  HIGH  </w:t>
      </w:r>
      <w:r>
        <w:rPr>
          <w:i/>
          <w:iCs/>
          <w:sz w:val="19"/>
          <w:szCs w:val="19"/>
        </w:rPr>
        <w:t xml:space="preserve">   Hallazgo #22</w:t>
      </w:r>
    </w:p>
    <w:p>
      <w:pPr>
        <w:spacing w:after="140" w:line="300"/>
      </w:pPr>
      <w:r>
        <w:rPr>
          <w:color w:val="1F2937"/>
          <w:sz w:val="21"/>
          <w:szCs w:val="21"/>
        </w:rPr>
        <w:t xml:space="preserve">Cada endpoint de negocio se declara con router.post('/ruta', ...) explícito (nunca router.all ni router.use genérico) — Express solo enruta el método declarado; cualquier otro método a esa misma ruta cae al handler catch-all de 404 en index.route.ts. No existe ningún handler PUT/DELETE/PATCH en todo el proyecto (se verificó con grep sobre los 8 archivos de rutas). (La enumeración por 401 vs 404 del hallazgo #27 sí era real y se corrigió — ver §2.4.)</w:t>
      </w:r>
    </w:p>
    <w:p>
      <w:pPr>
        <w:pStyle w:val="Heading2"/>
        <w:spacing w:after="120" w:before="260"/>
      </w:pPr>
      <w:r>
        <w:rPr>
          <w:b/>
          <w:bCs/>
          <w:color w:val="1F2937"/>
          <w:sz w:val="24"/>
          <w:szCs w:val="24"/>
        </w:rPr>
        <w:t xml:space="preserve">3.3 Rate limiting</w:t>
      </w:r>
    </w:p>
    <w:p>
      <w:pPr>
        <w:spacing w:after="140" w:line="300"/>
      </w:pPr>
      <w:r>
        <w:rPr>
          <w:b/>
          <w:bCs/>
          <w:color w:val="FFFFFF"/>
          <w:sz w:val="18"/>
          <w:szCs w:val="18"/>
          <w:shd w:fill="C2410C" w:val="clear"/>
        </w:rPr>
        <w:t xml:space="preserve">  HIGH  </w:t>
      </w:r>
      <w:r>
        <w:rPr>
          <w:i/>
          <w:iCs/>
          <w:sz w:val="19"/>
          <w:szCs w:val="19"/>
        </w:rPr>
        <w:t xml:space="preserve">   Hallazgos #18, #29, #34, #39</w:t>
      </w:r>
    </w:p>
    <w:p>
      <w:pPr>
        <w:spacing w:after="140" w:line="300"/>
      </w:pPr>
      <w:r>
        <w:rPr>
          <w:color w:val="1F2937"/>
          <w:sz w:val="21"/>
          <w:szCs w:val="21"/>
        </w:rPr>
        <w:t xml:space="preserve">express-rate-limit ya está activo sobre /ftd-spi-employee/rest/** (además de un limiter más estricto — 10/min — específico para /security/token, para frenar fuerza bruta de credenciales). Los propios hallazgos #29 y #34 del reporte muestran evidencia de esto funcionando (ratelimit-policy: 100;w=900, retry-after, remaining:0) — contradice directamente a los hallazgos #18 y #39, que afirman que "no fue auditado". Ver sección 5.</w:t>
      </w:r>
    </w:p>
    <w:p>
      <w:pPr>
        <w:pStyle w:val="Heading2"/>
        <w:spacing w:after="120" w:before="260"/>
      </w:pPr>
      <w:r>
        <w:rPr>
          <w:b/>
          <w:bCs/>
          <w:color w:val="1F2937"/>
          <w:sz w:val="24"/>
          <w:szCs w:val="24"/>
        </w:rPr>
        <w:t xml:space="preserve">3.4 Inyección SQL/NoSQL en parámetros de consulta</w:t>
      </w:r>
    </w:p>
    <w:p>
      <w:pPr>
        <w:spacing w:after="140" w:line="300"/>
      </w:pPr>
      <w:r>
        <w:rPr>
          <w:b/>
          <w:bCs/>
          <w:color w:val="FFFFFF"/>
          <w:sz w:val="18"/>
          <w:szCs w:val="18"/>
          <w:shd w:fill="C2410C" w:val="clear"/>
        </w:rPr>
        <w:t xml:space="preserve">  HIGH  </w:t>
      </w:r>
      <w:r>
        <w:rPr>
          <w:i/>
          <w:iCs/>
          <w:sz w:val="19"/>
          <w:szCs w:val="19"/>
        </w:rPr>
        <w:t xml:space="preserve">   Hallazgo #23</w:t>
      </w:r>
    </w:p>
    <w:p>
      <w:pPr>
        <w:spacing w:after="140" w:line="300"/>
      </w:pPr>
      <w:r>
        <w:rPr>
          <w:color w:val="1F2937"/>
          <w:sz w:val="21"/>
          <w:szCs w:val="21"/>
        </w:rPr>
        <w:t xml:space="preserve">No aplica a la arquitectura de esta API: no existen query params (?name=, ?id=, ?sort=) en ningún endpoint — todo el input va en el body JSON, validado por DTOs con class-validator (whitelist: true, forbidNonWhitelisted: true, que ya rechaza cualquier campo no declarado). Del lado Oracle, todas las llamadas usan bind variables (i_json CLOB como parámetro nombrado, nunca concatenación de strings) — confirmado en oracle-pkg.helper.ts y en los 7 paquetes PL/SQL del proyecto.</w:t>
      </w:r>
    </w:p>
    <w:p>
      <w:pPr>
        <w:pStyle w:val="Heading1"/>
        <w:spacing w:after="160" w:before="320"/>
      </w:pPr>
      <w:r>
        <w:rPr>
          <w:b/>
          <w:bCs/>
          <w:color w:val="1F2937"/>
          <w:sz w:val="30"/>
          <w:szCs w:val="30"/>
        </w:rPr>
        <w:t xml:space="preserve">4. Las 2 correcciones que NO se aplicaron desde este repo, y por qué</w:t>
      </w:r>
    </w:p>
    <w:p>
      <w:pPr>
        <w:spacing w:after="140" w:line="300"/>
      </w:pPr>
      <w:r>
        <w:rPr>
          <w:color w:val="1F2937"/>
          <w:sz w:val="21"/>
          <w:szCs w:val="21"/>
        </w:rPr>
        <w:t xml:space="preserve">De todo lo que el pentest marcó como accionable en backend, estas son las únicas 2 que se dejaron sin tocar en este ciclo. No es que se consideren aceptables sin más: ambas requieren romper un contrato de API ya integrado por clientes reales (el frontend Farmatodo y/o los consumidores del servicio Nest original), así que un cambio unilateral desde este repo generaría una falla en producción para ellos antes de mitigar el hallazgo. Quedan documentadas aquí explícitamente para que el equipo de seguridad decida si amerita coordinar el cambio de contrato con los dueños de esos clientes, en vez de asumir que fueron pasadas por alto.</w:t>
      </w:r>
    </w:p>
    <w:p>
      <w:pPr>
        <w:pStyle w:val="Heading2"/>
        <w:spacing w:after="120" w:before="260"/>
      </w:pPr>
      <w:r>
        <w:rPr>
          <w:b/>
          <w:bCs/>
          <w:color w:val="1F2937"/>
          <w:sz w:val="24"/>
          <w:szCs w:val="24"/>
        </w:rPr>
        <w:t xml:space="preserve">4.1 Cifrado AES de aplicación con clave estática (P2C)</w:t>
      </w:r>
    </w:p>
    <w:p>
      <w:pPr>
        <w:spacing w:after="140" w:line="300"/>
      </w:pPr>
      <w:r>
        <w:rPr>
          <w:b/>
          <w:bCs/>
          <w:color w:val="FFFFFF"/>
          <w:sz w:val="18"/>
          <w:szCs w:val="18"/>
          <w:shd w:fill="A16207" w:val="clear"/>
        </w:rPr>
        <w:t xml:space="preserve">  MEDIUM  </w:t>
      </w:r>
      <w:r>
        <w:rPr>
          <w:i/>
          <w:iCs/>
          <w:sz w:val="19"/>
          <w:szCs w:val="19"/>
        </w:rPr>
        <w:t xml:space="preserve">   Hallazgos #25, #32, #34(dup)</w:t>
      </w:r>
    </w:p>
    <w:p>
      <w:pPr>
        <w:spacing w:after="140" w:line="300"/>
      </w:pPr>
      <w:r>
        <w:rPr>
          <w:color w:val="1F2937"/>
          <w:sz w:val="21"/>
          <w:szCs w:val="21"/>
        </w:rPr>
        <w:t xml:space="preserve">El esquema RequestJson/ResponseJson (CryptoJS AES, clave compartida) es un requisito de contrato heredado del servicio Nest original que este backend reemplaza — no fue introducido por este equipo y clientes ya integrados dependen de él. El reporte tiene razón en que es "seguridad por oscuridad" adicional sobre TLS y que la clave, al vivir en el bundle del frontend, es técnicamente extraíble.</w:t>
      </w:r>
    </w:p>
    <w:p>
      <w:pPr>
        <w:spacing w:after="140" w:line="300"/>
      </w:pPr>
      <w:r>
        <w:rPr>
          <w:b/>
          <w:bCs/>
          <w:sz w:val="21"/>
          <w:szCs w:val="21"/>
        </w:rPr>
        <w:t xml:space="preserve">Comentario para seguridad: </w:t>
      </w:r>
      <w:r>
        <w:rPr>
          <w:sz w:val="21"/>
          <w:szCs w:val="21"/>
        </w:rPr>
        <w:t xml:space="preserve">no se cambia porque removerlo, o migrar a criptografía asimétrica, rompe a cualquier cliente que hoy cifra con la clave simétrica actual (el frontend, y potencialmente integraciones de RRHH externas) — es un cambio de contrato, no un fix de código, y necesita coordinarse con el equipo de frontend/Farmatodo antes de tocarlo. Se deja como riesgo aceptado a nivel de producto, con la migración a intercambio de clave asimétrico (ECIES/RSA) recomendada por el propio reporte como mejora futura una vez coordinada.</w:t>
      </w:r>
    </w:p>
    <w:p>
      <w:pPr>
        <w:pStyle w:val="Heading2"/>
        <w:spacing w:after="120" w:before="260"/>
      </w:pPr>
      <w:r>
        <w:rPr>
          <w:b/>
          <w:bCs/>
          <w:color w:val="1F2937"/>
          <w:sz w:val="24"/>
          <w:szCs w:val="24"/>
        </w:rPr>
        <w:t xml:space="preserve">4.2 Formato de error revela el framework backend</w:t>
      </w:r>
    </w:p>
    <w:p>
      <w:pPr>
        <w:spacing w:after="140" w:line="300"/>
      </w:pPr>
      <w:r>
        <w:rPr>
          <w:b/>
          <w:bCs/>
          <w:color w:val="FFFFFF"/>
          <w:sz w:val="18"/>
          <w:szCs w:val="18"/>
          <w:shd w:fill="15803D" w:val="clear"/>
        </w:rPr>
        <w:t xml:space="preserve">  LOW  </w:t>
      </w:r>
      <w:r>
        <w:rPr>
          <w:i/>
          <w:iCs/>
          <w:sz w:val="19"/>
          <w:szCs w:val="19"/>
        </w:rPr>
        <w:t xml:space="preserve">   Hallazgo #42</w:t>
      </w:r>
    </w:p>
    <w:p>
      <w:pPr>
        <w:spacing w:after="140" w:line="300"/>
      </w:pPr>
      <w:r>
        <w:rPr>
          <w:color w:val="1F2937"/>
          <w:sz w:val="21"/>
          <w:szCs w:val="21"/>
        </w:rPr>
        <w:t xml:space="preserve">El esquema { statusCode, message, errors, timestamp, path } de errorHandler.middleware.ts está fijado deliberadamente para ser compatible con el contrato del servicio Nest original ("Contratos HTTP congelados", ver README del proyecto).</w:t>
      </w:r>
    </w:p>
    <w:p>
      <w:pPr>
        <w:spacing w:after="140" w:line="300"/>
      </w:pPr>
      <w:r>
        <w:rPr>
          <w:b/>
          <w:bCs/>
          <w:sz w:val="21"/>
          <w:szCs w:val="21"/>
        </w:rPr>
        <w:t xml:space="preserve">Comentario para seguridad: </w:t>
      </w:r>
      <w:r>
        <w:rPr>
          <w:sz w:val="21"/>
          <w:szCs w:val="21"/>
        </w:rPr>
        <w:t xml:space="preserve">cambiar esta forma de respuesta rompería a cualquier cliente que ya parsea ese formato de error. Es severidad baja (CVSS 3.7) y el costo de romper el contrato supera el beneficio de ocultar el framework — el vector real de reconocimiento (headers de infraestructura, naming de subdominio) está fuera de este repo de todas formas (ver §6). Si seguridad considera que esto debe cerrarse igual, la vía sería versionar el contrato de error (ej. un nuevo header o flag que el cliente pida explícitamente), no cambiarlo por debajo a los clientes actuales.</w:t>
      </w:r>
    </w:p>
    <w:p>
      <w:pPr>
        <w:pageBreakBefore/>
      </w:pPr>
    </w:p>
    <w:p>
      <w:pPr>
        <w:pStyle w:val="Heading1"/>
        <w:spacing w:after="160" w:before="320"/>
      </w:pPr>
      <w:r>
        <w:rPr>
          <w:b/>
          <w:bCs/>
          <w:color w:val="1F2937"/>
          <w:sz w:val="30"/>
          <w:szCs w:val="30"/>
        </w:rPr>
        <w:t xml:space="preserve">5. Inconsistencias detectadas en el propio reporte</w:t>
      </w:r>
    </w:p>
    <w:p>
      <w:pPr>
        <w:spacing w:after="140" w:line="300"/>
      </w:pPr>
      <w:r>
        <w:rPr>
          <w:color w:val="1F2937"/>
          <w:sz w:val="21"/>
          <w:szCs w:val="21"/>
        </w:rPr>
        <w:t xml:space="preserve">El reporte fue generado por múltiples agentes automatizados en paralelo ("Perimeter &amp; Infrastructure Recon", "Retador Alpha/Beta/Gamma", "API Scanner &amp; Credential Hunter", "Injection &amp; Vulnerability Scanner"), y varios hallazgos "CRITICAL" se basan en una sola captura sin token que contradice evidencia recogida por otros agentes en el mismo reporte. Se documentan para que el equipo de seguridad las tenga en cuenta al priorizar re-testeos:</w:t>
      </w:r>
    </w:p>
    <w:p>
      <w:pPr>
        <w:pStyle w:val="ListParagraph"/>
        <w:numPr>
          <w:ilvl w:val="0"/>
          <w:numId w:val="2"/>
        </w:numPr>
        <w:spacing w:after="80" w:line="280"/>
      </w:pPr>
      <w:r>
        <w:rPr>
          <w:color w:val="1F2937"/>
          <w:sz w:val="21"/>
          <w:szCs w:val="21"/>
        </w:rPr>
        <w:t xml:space="preserve">Los hallazgos #2, #3, #5, #6, #7 (CRITICAL, "endpoint responde 200 sin autenticación") se contradicen con los hallazgos #27, #32, #38 y #50, todos del mismo reporte, que muestran el mismo endpoint /catalogs/parishes/list respondiendo 401 sin token — incluyendo capturas de headers de un 401 real (#33, #36, #50). Lo más probable es que la captura inicial "200 sin auth" se haya tomado con un token válido en caché de una sesión anterior, o contra un ambiente distinto (dev/staging, hallazgo #26) que sí tuviera auth deshabilitada. En el código actual, y confirmado con pruebas en vivo en este ciclo, el endpoint exige JWT válido.</w:t>
      </w:r>
    </w:p>
    <w:p>
      <w:pPr>
        <w:pStyle w:val="ListParagraph"/>
        <w:numPr>
          <w:ilvl w:val="0"/>
          <w:numId w:val="2"/>
        </w:numPr>
        <w:spacing w:after="80" w:line="280"/>
      </w:pPr>
      <w:r>
        <w:rPr>
          <w:color w:val="1F2937"/>
          <w:sz w:val="21"/>
          <w:szCs w:val="21"/>
        </w:rPr>
        <w:t xml:space="preserve">Los hallazgos #18 y #39 ("rate limiting no auditado / ausente") contradicen a los hallazgos #29 y #34 del mismo reporte, que muestran evidencia directa de rate limiting activo (headers ratelimit-policy, ratelimit-remaining, retry-after) contra el mismo endpoint.</w:t>
      </w:r>
    </w:p>
    <w:p>
      <w:pPr>
        <w:pStyle w:val="ListParagraph"/>
        <w:numPr>
          <w:ilvl w:val="0"/>
          <w:numId w:val="2"/>
        </w:numPr>
        <w:spacing w:after="80" w:line="280"/>
      </w:pPr>
      <w:r>
        <w:rPr>
          <w:color w:val="1F2937"/>
          <w:sz w:val="21"/>
          <w:szCs w:val="21"/>
        </w:rPr>
        <w:t xml:space="preserve">El hallazgo #45 (WADL de JAX-RS) asume un stack Java/Jersey que no corresponde a este proyecto (Express/TypeScript) — no existe tal endpoint ni tiene sentido buscarlo aquí.</w:t>
      </w:r>
    </w:p>
    <w:p>
      <w:pPr>
        <w:spacing w:after="140" w:line="300"/>
      </w:pPr>
      <w:r>
        <w:rPr>
          <w:color w:val="1F2937"/>
          <w:sz w:val="21"/>
          <w:szCs w:val="21"/>
        </w:rPr>
        <w:t xml:space="preserve">Recomendación: antes de la próxima ronda, re-ejecutar el pentest contra el código ya corregido y confirmar con el equipo qué ambiente/token se usó para las capturas "200 sin auth" del set 2-7, ya que actualmente no son reproducibles contra este backend.</w:t>
      </w:r>
    </w:p>
    <w:p>
      <w:pPr>
        <w:pStyle w:val="Heading1"/>
        <w:spacing w:after="160" w:before="320"/>
      </w:pPr>
      <w:r>
        <w:rPr>
          <w:b/>
          <w:bCs/>
          <w:color w:val="1F2937"/>
          <w:sz w:val="30"/>
          <w:szCs w:val="30"/>
        </w:rPr>
        <w:t xml:space="preserve">6. Fuera de alcance de este repositorio</w:t>
      </w:r>
    </w:p>
    <w:p>
      <w:pPr>
        <w:spacing w:after="140" w:line="300"/>
      </w:pPr>
      <w:r>
        <w:rPr>
          <w:color w:val="1F2937"/>
          <w:sz w:val="21"/>
          <w:szCs w:val="21"/>
        </w:rPr>
        <w:t xml:space="preserve">Los siguientes hallazgos no son accionables desde ftd-spi-employee porque pertenecen a otro repositorio (el frontend/portal "aplicaciones-vp-finanzas" y su proyecto Firebase) o a la configuración de infraestructura de Google Cloud (fuera del código de la aplicación). Se listan para que se puedan asignar a los equipos correspondientes.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700"/>
        <w:gridCol w:w="5260"/>
      </w:tblGrid>
      <w:tr>
        <w:trPr>
          <w:tblHeader/>
        </w:trPr>
        <w:tc>
          <w:tcPr>
            <w:tcW w:type="dxa" w:w="1400"/>
            <w:shd w:fill="1F2937" w:val="clear"/>
            <w:tcMar>
              <w:top w:type="dxa" w:w="80"/>
              <w:left w:type="dxa" w:w="100"/>
              <w:bottom w:type="dxa" w:w="80"/>
              <w:right w:type="dxa" w:w="100"/>
            </w:tcMar>
            <w:vAlign w:val="center"/>
          </w:tcPr>
          <w:p>
            <w:r>
              <w:rPr>
                <w:b/>
                <w:bCs/>
                <w:color w:val="FFFFFF"/>
                <w:sz w:val="19"/>
                <w:szCs w:val="19"/>
              </w:rPr>
              <w:t xml:space="preserve">Hallazgos (#)</w:t>
            </w:r>
          </w:p>
        </w:tc>
        <w:tc>
          <w:tcPr>
            <w:tcW w:type="dxa" w:w="4700"/>
            <w:shd w:fill="1F2937" w:val="clear"/>
            <w:tcMar>
              <w:top w:type="dxa" w:w="80"/>
              <w:left w:type="dxa" w:w="100"/>
              <w:bottom w:type="dxa" w:w="80"/>
              <w:right w:type="dxa" w:w="100"/>
            </w:tcMar>
            <w:vAlign w:val="center"/>
          </w:tcPr>
          <w:p>
            <w:r>
              <w:rPr>
                <w:b/>
                <w:bCs/>
                <w:color w:val="FFFFFF"/>
                <w:sz w:val="19"/>
                <w:szCs w:val="19"/>
              </w:rPr>
              <w:t xml:space="preserve">Resumen</w:t>
            </w:r>
          </w:p>
        </w:tc>
        <w:tc>
          <w:tcPr>
            <w:tcW w:type="dxa" w:w="5260"/>
            <w:shd w:fill="1F2937" w:val="clear"/>
            <w:tcMar>
              <w:top w:type="dxa" w:w="80"/>
              <w:left w:type="dxa" w:w="100"/>
              <w:bottom w:type="dxa" w:w="80"/>
              <w:right w:type="dxa" w:w="100"/>
            </w:tcMar>
            <w:vAlign w:val="center"/>
          </w:tcPr>
          <w:p>
            <w:r>
              <w:rPr>
                <w:b/>
                <w:bCs/>
                <w:color w:val="FFFFFF"/>
                <w:sz w:val="19"/>
                <w:szCs w:val="19"/>
              </w:rPr>
              <w:t xml:space="preserve">Por qué queda fuera de este repo</w:t>
            </w:r>
          </w:p>
        </w:tc>
      </w:tr>
      <w:tr>
        <w:tc>
          <w:tcPr>
            <w:tcW w:type="dxa" w:w="1400"/>
            <w:shd w:fill="FFFFFF" w:val="clear"/>
            <w:tcMar>
              <w:top w:type="dxa" w:w="80"/>
              <w:left w:type="dxa" w:w="100"/>
              <w:bottom w:type="dxa" w:w="80"/>
              <w:right w:type="dxa" w:w="100"/>
            </w:tcMar>
            <w:vAlign w:val="center"/>
          </w:tcPr>
          <w:p>
            <w:r>
              <w:rPr>
                <w:b/>
                <w:bCs/>
                <w:color w:val="1F2937"/>
                <w:sz w:val="19"/>
                <w:szCs w:val="19"/>
              </w:rPr>
              <w:t xml:space="preserve">#1, 8</w:t>
            </w:r>
          </w:p>
        </w:tc>
        <w:tc>
          <w:tcPr>
            <w:tcW w:type="dxa" w:w="4700"/>
            <w:shd w:fill="FFFFFF" w:val="clear"/>
            <w:tcMar>
              <w:top w:type="dxa" w:w="80"/>
              <w:left w:type="dxa" w:w="100"/>
              <w:bottom w:type="dxa" w:w="80"/>
              <w:right w:type="dxa" w:w="100"/>
            </w:tcMar>
            <w:vAlign w:val="center"/>
          </w:tcPr>
          <w:p>
            <w:r>
              <w:rPr>
                <w:b w:val="false"/>
                <w:bCs w:val="false"/>
                <w:color w:val="1F2937"/>
                <w:sz w:val="19"/>
                <w:szCs w:val="19"/>
              </w:rPr>
              <w:t xml:space="preserve">Firebase API Key expuesta / enumeración de usuarios vía sendOobCode</w:t>
            </w:r>
          </w:p>
        </w:tc>
        <w:tc>
          <w:tcPr>
            <w:tcW w:type="dxa" w:w="5260"/>
            <w:shd w:fill="FFFFFF" w:val="clear"/>
            <w:tcMar>
              <w:top w:type="dxa" w:w="80"/>
              <w:left w:type="dxa" w:w="100"/>
              <w:bottom w:type="dxa" w:w="80"/>
              <w:right w:type="dxa" w:w="100"/>
            </w:tcMar>
            <w:vAlign w:val="center"/>
          </w:tcPr>
          <w:p>
            <w:r>
              <w:rPr>
                <w:b w:val="false"/>
                <w:bCs w:val="false"/>
                <w:color w:val="1F2937"/>
                <w:sz w:val="19"/>
                <w:szCs w:val="19"/>
              </w:rPr>
              <w:t xml:space="preserve">Frontend "aplicaciones-vp-finanzas" + proyecto Firebase — otro repositorio.</w:t>
            </w:r>
          </w:p>
        </w:tc>
      </w:tr>
      <w:tr>
        <w:tc>
          <w:tcPr>
            <w:tcW w:type="dxa" w:w="1400"/>
            <w:shd w:fill="F3F4F6" w:val="clear"/>
            <w:tcMar>
              <w:top w:type="dxa" w:w="80"/>
              <w:left w:type="dxa" w:w="100"/>
              <w:bottom w:type="dxa" w:w="80"/>
              <w:right w:type="dxa" w:w="100"/>
            </w:tcMar>
            <w:vAlign w:val="center"/>
          </w:tcPr>
          <w:p>
            <w:r>
              <w:rPr>
                <w:b/>
                <w:bCs/>
                <w:color w:val="1F2937"/>
                <w:sz w:val="19"/>
                <w:szCs w:val="19"/>
              </w:rPr>
              <w:t xml:space="preserve">#9</w:t>
            </w:r>
          </w:p>
        </w:tc>
        <w:tc>
          <w:tcPr>
            <w:tcW w:type="dxa" w:w="4700"/>
            <w:shd w:fill="F3F4F6" w:val="clear"/>
            <w:tcMar>
              <w:top w:type="dxa" w:w="80"/>
              <w:left w:type="dxa" w:w="100"/>
              <w:bottom w:type="dxa" w:w="80"/>
              <w:right w:type="dxa" w:w="100"/>
            </w:tcMar>
            <w:vAlign w:val="center"/>
          </w:tcPr>
          <w:p>
            <w:r>
              <w:rPr>
                <w:b w:val="false"/>
                <w:bCs w:val="false"/>
                <w:color w:val="1F2937"/>
                <w:sz w:val="19"/>
                <w:szCs w:val="19"/>
              </w:rPr>
              <w:t xml:space="preserve">Portal interno (Vue/React) accesible sin autenticación en el dominio raíz</w:t>
            </w:r>
          </w:p>
        </w:tc>
        <w:tc>
          <w:tcPr>
            <w:tcW w:type="dxa" w:w="5260"/>
            <w:shd w:fill="F3F4F6" w:val="clear"/>
            <w:tcMar>
              <w:top w:type="dxa" w:w="80"/>
              <w:left w:type="dxa" w:w="100"/>
              <w:bottom w:type="dxa" w:w="80"/>
              <w:right w:type="dxa" w:w="100"/>
            </w:tcMar>
            <w:vAlign w:val="center"/>
          </w:tcPr>
          <w:p>
            <w:r>
              <w:rPr>
                <w:b w:val="false"/>
                <w:bCs w:val="false"/>
                <w:color w:val="1F2937"/>
                <w:sz w:val="19"/>
                <w:szCs w:val="19"/>
              </w:rPr>
              <w:t xml:space="preserve">Frontend "aplicaciones-vp-finanzas" — otro repositorio.</w:t>
            </w:r>
          </w:p>
        </w:tc>
      </w:tr>
      <w:tr>
        <w:tc>
          <w:tcPr>
            <w:tcW w:type="dxa" w:w="1400"/>
            <w:shd w:fill="FFFFFF" w:val="clear"/>
            <w:tcMar>
              <w:top w:type="dxa" w:w="80"/>
              <w:left w:type="dxa" w:w="100"/>
              <w:bottom w:type="dxa" w:w="80"/>
              <w:right w:type="dxa" w:w="100"/>
            </w:tcMar>
            <w:vAlign w:val="center"/>
          </w:tcPr>
          <w:p>
            <w:r>
              <w:rPr>
                <w:b/>
                <w:bCs/>
                <w:color w:val="1F2937"/>
                <w:sz w:val="19"/>
                <w:szCs w:val="19"/>
              </w:rPr>
              <w:t xml:space="preserve">#4, 6</w:t>
            </w:r>
          </w:p>
        </w:tc>
        <w:tc>
          <w:tcPr>
            <w:tcW w:type="dxa" w:w="4700"/>
            <w:shd w:fill="FFFFFF" w:val="clear"/>
            <w:tcMar>
              <w:top w:type="dxa" w:w="80"/>
              <w:left w:type="dxa" w:w="100"/>
              <w:bottom w:type="dxa" w:w="80"/>
              <w:right w:type="dxa" w:w="100"/>
            </w:tcMar>
            <w:vAlign w:val="center"/>
          </w:tcPr>
          <w:p>
            <w:r>
              <w:rPr>
                <w:b w:val="false"/>
                <w:bCs w:val="false"/>
                <w:color w:val="1F2937"/>
                <w:sz w:val="19"/>
                <w:szCs w:val="19"/>
              </w:rPr>
              <w:t xml:space="preserve">Attack chains que combinan Firebase + "SPI sin auth"</w:t>
            </w:r>
          </w:p>
        </w:tc>
        <w:tc>
          <w:tcPr>
            <w:tcW w:type="dxa" w:w="5260"/>
            <w:shd w:fill="FFFFFF" w:val="clear"/>
            <w:tcMar>
              <w:top w:type="dxa" w:w="80"/>
              <w:left w:type="dxa" w:w="100"/>
              <w:bottom w:type="dxa" w:w="80"/>
              <w:right w:type="dxa" w:w="100"/>
            </w:tcMar>
            <w:vAlign w:val="center"/>
          </w:tcPr>
          <w:p>
            <w:r>
              <w:rPr>
                <w:b w:val="false"/>
                <w:bCs w:val="false"/>
                <w:color w:val="1F2937"/>
                <w:sz w:val="19"/>
                <w:szCs w:val="19"/>
              </w:rPr>
              <w:t xml:space="preserve">La premisa de "SPI sin auth" ya no aplica (ver §4); la parte Firebase sigue fuera de este repo.</w:t>
            </w:r>
          </w:p>
        </w:tc>
      </w:tr>
      <w:tr>
        <w:tc>
          <w:tcPr>
            <w:tcW w:type="dxa" w:w="1400"/>
            <w:shd w:fill="F3F4F6" w:val="clear"/>
            <w:tcMar>
              <w:top w:type="dxa" w:w="80"/>
              <w:left w:type="dxa" w:w="100"/>
              <w:bottom w:type="dxa" w:w="80"/>
              <w:right w:type="dxa" w:w="100"/>
            </w:tcMar>
            <w:vAlign w:val="center"/>
          </w:tcPr>
          <w:p>
            <w:r>
              <w:rPr>
                <w:b/>
                <w:bCs/>
                <w:color w:val="1F2937"/>
                <w:sz w:val="19"/>
                <w:szCs w:val="19"/>
              </w:rPr>
              <w:t xml:space="preserve">#14, 17, 44, 46, 47, 52</w:t>
            </w:r>
          </w:p>
        </w:tc>
        <w:tc>
          <w:tcPr>
            <w:tcW w:type="dxa" w:w="4700"/>
            <w:shd w:fill="F3F4F6" w:val="clear"/>
            <w:tcMar>
              <w:top w:type="dxa" w:w="80"/>
              <w:left w:type="dxa" w:w="100"/>
              <w:bottom w:type="dxa" w:w="80"/>
              <w:right w:type="dxa" w:w="100"/>
            </w:tcMar>
            <w:vAlign w:val="center"/>
          </w:tcPr>
          <w:p>
            <w:r>
              <w:rPr>
                <w:b w:val="false"/>
                <w:bCs w:val="false"/>
                <w:color w:val="1F2937"/>
                <w:sz w:val="19"/>
                <w:szCs w:val="19"/>
              </w:rPr>
              <w:t xml:space="preserve">Naming/dot-notation de App Engine, subdominios enumerables, TLS legacy (3DES/TLS1.0-1.1)</w:t>
            </w:r>
          </w:p>
        </w:tc>
        <w:tc>
          <w:tcPr>
            <w:tcW w:type="dxa" w:w="5260"/>
            <w:shd w:fill="F3F4F6" w:val="clear"/>
            <w:tcMar>
              <w:top w:type="dxa" w:w="80"/>
              <w:left w:type="dxa" w:w="100"/>
              <w:bottom w:type="dxa" w:w="80"/>
              <w:right w:type="dxa" w:w="100"/>
            </w:tcMar>
            <w:vAlign w:val="center"/>
          </w:tcPr>
          <w:p>
            <w:r>
              <w:rPr>
                <w:b w:val="false"/>
                <w:bCs w:val="false"/>
                <w:color w:val="1F2937"/>
                <w:sz w:val="19"/>
                <w:szCs w:val="19"/>
              </w:rPr>
              <w:t xml:space="preserve">Configuración de despliegue GCP (app.yaml/dispatch.yaml, dominio custom, IAP, Cloud Armor) — no vive en el código de la app.</w:t>
            </w:r>
          </w:p>
        </w:tc>
      </w:tr>
      <w:tr>
        <w:tc>
          <w:tcPr>
            <w:tcW w:type="dxa" w:w="1400"/>
            <w:shd w:fill="FFFFFF" w:val="clear"/>
            <w:tcMar>
              <w:top w:type="dxa" w:w="80"/>
              <w:left w:type="dxa" w:w="100"/>
              <w:bottom w:type="dxa" w:w="80"/>
              <w:right w:type="dxa" w:w="100"/>
            </w:tcMar>
            <w:vAlign w:val="center"/>
          </w:tcPr>
          <w:p>
            <w:r>
              <w:rPr>
                <w:b/>
                <w:bCs/>
                <w:color w:val="1F2937"/>
                <w:sz w:val="19"/>
                <w:szCs w:val="19"/>
              </w:rPr>
              <w:t xml:space="preserve">#40</w:t>
            </w:r>
          </w:p>
        </w:tc>
        <w:tc>
          <w:tcPr>
            <w:tcW w:type="dxa" w:w="4700"/>
            <w:shd w:fill="FFFFFF" w:val="clear"/>
            <w:tcMar>
              <w:top w:type="dxa" w:w="80"/>
              <w:left w:type="dxa" w:w="100"/>
              <w:bottom w:type="dxa" w:w="80"/>
              <w:right w:type="dxa" w:w="100"/>
            </w:tcMar>
            <w:vAlign w:val="center"/>
          </w:tcPr>
          <w:p>
            <w:r>
              <w:rPr>
                <w:b w:val="false"/>
                <w:bCs w:val="false"/>
                <w:color w:val="1F2937"/>
                <w:sz w:val="19"/>
                <w:szCs w:val="19"/>
              </w:rPr>
              <w:t xml:space="preserve">Headers de plataforma (X-Cloud-Trace-Context, Server: Google Frontend)</w:t>
            </w:r>
          </w:p>
        </w:tc>
        <w:tc>
          <w:tcPr>
            <w:tcW w:type="dxa" w:w="5260"/>
            <w:shd w:fill="FFFFFF" w:val="clear"/>
            <w:tcMar>
              <w:top w:type="dxa" w:w="80"/>
              <w:left w:type="dxa" w:w="100"/>
              <w:bottom w:type="dxa" w:w="80"/>
              <w:right w:type="dxa" w:w="100"/>
            </w:tcMar>
            <w:vAlign w:val="center"/>
          </w:tcPr>
          <w:p>
            <w:r>
              <w:rPr>
                <w:b w:val="false"/>
                <w:bCs w:val="false"/>
                <w:color w:val="1F2937"/>
                <w:sz w:val="19"/>
                <w:szCs w:val="19"/>
              </w:rPr>
              <w:t xml:space="preserve">Emitidos por el frontend de Google/App Engine, no por esta app Express.</w:t>
            </w:r>
          </w:p>
        </w:tc>
      </w:tr>
      <w:tr>
        <w:tc>
          <w:tcPr>
            <w:tcW w:type="dxa" w:w="1400"/>
            <w:shd w:fill="F3F4F6" w:val="clear"/>
            <w:tcMar>
              <w:top w:type="dxa" w:w="80"/>
              <w:left w:type="dxa" w:w="100"/>
              <w:bottom w:type="dxa" w:w="80"/>
              <w:right w:type="dxa" w:w="100"/>
            </w:tcMar>
            <w:vAlign w:val="center"/>
          </w:tcPr>
          <w:p>
            <w:r>
              <w:rPr>
                <w:b/>
                <w:bCs/>
                <w:color w:val="1F2937"/>
                <w:sz w:val="19"/>
                <w:szCs w:val="19"/>
              </w:rPr>
              <w:t xml:space="preserve">#26(orig)</w:t>
            </w:r>
          </w:p>
        </w:tc>
        <w:tc>
          <w:tcPr>
            <w:tcW w:type="dxa" w:w="4700"/>
            <w:shd w:fill="F3F4F6" w:val="clear"/>
            <w:tcMar>
              <w:top w:type="dxa" w:w="80"/>
              <w:left w:type="dxa" w:w="100"/>
              <w:bottom w:type="dxa" w:w="80"/>
              <w:right w:type="dxa" w:w="100"/>
            </w:tcMar>
            <w:vAlign w:val="center"/>
          </w:tcPr>
          <w:p>
            <w:r>
              <w:rPr>
                <w:b w:val="false"/>
                <w:bCs w:val="false"/>
                <w:color w:val="1F2937"/>
                <w:sz w:val="19"/>
                <w:szCs w:val="19"/>
              </w:rPr>
              <w:t xml:space="preserve">Subdominios dev/staging expuestos públicamente</w:t>
            </w:r>
          </w:p>
        </w:tc>
        <w:tc>
          <w:tcPr>
            <w:tcW w:type="dxa" w:w="5260"/>
            <w:shd w:fill="F3F4F6" w:val="clear"/>
            <w:tcMar>
              <w:top w:type="dxa" w:w="80"/>
              <w:left w:type="dxa" w:w="100"/>
              <w:bottom w:type="dxa" w:w="80"/>
              <w:right w:type="dxa" w:w="100"/>
            </w:tcMar>
            <w:vAlign w:val="center"/>
          </w:tcPr>
          <w:p>
            <w:r>
              <w:rPr>
                <w:b w:val="false"/>
                <w:bCs w:val="false"/>
                <w:color w:val="1F2937"/>
                <w:sz w:val="19"/>
                <w:szCs w:val="19"/>
              </w:rPr>
              <w:t xml:space="preserve">Gestión de entornos/IAP a nivel de proyecto GCP.</w:t>
            </w:r>
          </w:p>
        </w:tc>
      </w:tr>
      <w:tr>
        <w:tc>
          <w:tcPr>
            <w:tcW w:type="dxa" w:w="1400"/>
            <w:shd w:fill="FFFFFF" w:val="clear"/>
            <w:tcMar>
              <w:top w:type="dxa" w:w="80"/>
              <w:left w:type="dxa" w:w="100"/>
              <w:bottom w:type="dxa" w:w="80"/>
              <w:right w:type="dxa" w:w="100"/>
            </w:tcMar>
            <w:vAlign w:val="center"/>
          </w:tcPr>
          <w:p>
            <w:r>
              <w:rPr>
                <w:b/>
                <w:bCs/>
                <w:color w:val="1F2937"/>
                <w:sz w:val="19"/>
                <w:szCs w:val="19"/>
              </w:rPr>
              <w:t xml:space="preserve">#45(WADL)</w:t>
            </w:r>
          </w:p>
        </w:tc>
        <w:tc>
          <w:tcPr>
            <w:tcW w:type="dxa" w:w="4700"/>
            <w:shd w:fill="FFFFFF" w:val="clear"/>
            <w:tcMar>
              <w:top w:type="dxa" w:w="80"/>
              <w:left w:type="dxa" w:w="100"/>
              <w:bottom w:type="dxa" w:w="80"/>
              <w:right w:type="dxa" w:w="100"/>
            </w:tcMar>
            <w:vAlign w:val="center"/>
          </w:tcPr>
          <w:p>
            <w:r>
              <w:rPr>
                <w:b w:val="false"/>
                <w:bCs w:val="false"/>
                <w:color w:val="1F2937"/>
                <w:sz w:val="19"/>
                <w:szCs w:val="19"/>
              </w:rPr>
              <w:t xml:space="preserve">Endpoint /application.wadl de JAX-RS</w:t>
            </w:r>
          </w:p>
        </w:tc>
        <w:tc>
          <w:tcPr>
            <w:tcW w:type="dxa" w:w="5260"/>
            <w:shd w:fill="FFFFFF" w:val="clear"/>
            <w:tcMar>
              <w:top w:type="dxa" w:w="80"/>
              <w:left w:type="dxa" w:w="100"/>
              <w:bottom w:type="dxa" w:w="80"/>
              <w:right w:type="dxa" w:w="100"/>
            </w:tcMar>
            <w:vAlign w:val="center"/>
          </w:tcPr>
          <w:p>
            <w:r>
              <w:rPr>
                <w:b w:val="false"/>
                <w:bCs w:val="false"/>
                <w:color w:val="1F2937"/>
                <w:sz w:val="19"/>
                <w:szCs w:val="19"/>
              </w:rPr>
              <w:t xml:space="preserve">No aplica: este backend es Express/TypeScript, no Java/Jersey — no existe tal endpoint.</w:t>
            </w:r>
          </w:p>
        </w:tc>
      </w:tr>
    </w:tbl>
    <w:p>
      <w:pPr>
        <w:pStyle w:val="Heading1"/>
        <w:spacing w:after="160" w:before="320"/>
      </w:pPr>
      <w:r>
        <w:rPr>
          <w:b/>
          <w:bCs/>
          <w:color w:val="1F2937"/>
          <w:sz w:val="30"/>
          <w:szCs w:val="30"/>
        </w:rPr>
        <w:t xml:space="preserve">7. Archivos modificados en este ciclo</w:t>
      </w:r>
    </w:p>
    <w:p>
      <w:pPr>
        <w:pStyle w:val="ListParagraph"/>
        <w:numPr>
          <w:ilvl w:val="0"/>
          <w:numId w:val="2"/>
        </w:numPr>
        <w:spacing w:after="80" w:line="280"/>
      </w:pPr>
      <w:r>
        <w:rPr>
          <w:color w:val="1F2937"/>
          <w:sz w:val="21"/>
          <w:szCs w:val="21"/>
        </w:rPr>
        <w:t xml:space="preserve">src/index.ts — Permissions-Policy, Cache-Control: no-store, métodos CORS reducidos, trust proxy 1, se retiró el montaje global de payloadCryptoMiddleware.</w:t>
      </w:r>
    </w:p>
    <w:p>
      <w:pPr>
        <w:pStyle w:val="ListParagraph"/>
        <w:numPr>
          <w:ilvl w:val="0"/>
          <w:numId w:val="2"/>
        </w:numPr>
        <w:spacing w:after="80" w:line="280"/>
      </w:pPr>
      <w:r>
        <w:rPr>
          <w:color w:val="1F2937"/>
          <w:sz w:val="21"/>
          <w:szCs w:val="21"/>
        </w:rPr>
        <w:t xml:space="preserve">src/interfaces/routes/index.route.ts — gate de auth+país global antes del middleware de cifrado de payload (esto también cierra la enumeración #27).</w:t>
      </w:r>
    </w:p>
    <w:p>
      <w:pPr>
        <w:pStyle w:val="ListParagraph"/>
        <w:numPr>
          <w:ilvl w:val="0"/>
          <w:numId w:val="2"/>
        </w:numPr>
        <w:spacing w:after="80" w:line="280"/>
      </w:pPr>
      <w:r>
        <w:rPr>
          <w:color w:val="1F2937"/>
          <w:sz w:val="21"/>
          <w:szCs w:val="21"/>
        </w:rPr>
        <w:t xml:space="preserve">src/interfaces/middlewares/payload-crypto.middleware.ts — falla cerrado (500) si REQUIRE_ENCRYPTED_PAYLOAD=true sin PAYLOAD_ENCRYPTION_KEY, en vez de aceptar texto plano en silencio.</w:t>
      </w:r>
    </w:p>
    <w:p>
      <w:pPr>
        <w:pStyle w:val="ListParagraph"/>
        <w:numPr>
          <w:ilvl w:val="0"/>
          <w:numId w:val="2"/>
        </w:numPr>
        <w:spacing w:after="80" w:line="280"/>
      </w:pPr>
      <w:r>
        <w:rPr>
          <w:color w:val="1F2937"/>
          <w:sz w:val="21"/>
          <w:szCs w:val="21"/>
        </w:rPr>
        <w:t xml:space="preserve">src/config/configuration.ts — filtro defensivo de orígenes localhost/127.0.0.1 cuando NODE_ENV=production.</w:t>
      </w:r>
    </w:p>
    <w:p>
      <w:pPr>
        <w:pStyle w:val="ListParagraph"/>
        <w:numPr>
          <w:ilvl w:val="0"/>
          <w:numId w:val="2"/>
        </w:numPr>
        <w:spacing w:after="80" w:line="280"/>
      </w:pPr>
      <w:r>
        <w:rPr>
          <w:color w:val="1F2937"/>
          <w:sz w:val="21"/>
          <w:szCs w:val="21"/>
        </w:rPr>
        <w:t xml:space="preserve">src/config/configuration.spec.ts — 3 tests nuevos para el filtro de CORS.</w:t>
      </w:r>
    </w:p>
    <w:p>
      <w:pPr>
        <w:pStyle w:val="ListParagraph"/>
        <w:numPr>
          <w:ilvl w:val="0"/>
          <w:numId w:val="2"/>
        </w:numPr>
        <w:spacing w:after="80" w:line="280"/>
      </w:pPr>
      <w:r>
        <w:rPr>
          <w:color w:val="1F2937"/>
          <w:sz w:val="21"/>
          <w:szCs w:val="21"/>
        </w:rPr>
        <w:t xml:space="preserve">test/security.e2e-spec.ts (nuevo) — 12 tests e2e: orden auth-antes-de-cifrado, cabeceras de seguridad, ruta desconocida → 401 uniforme, guard de cifrado fallando cerrado.</w:t>
      </w:r>
    </w:p>
    <w:p>
      <w:pPr>
        <w:pStyle w:val="ListParagraph"/>
        <w:numPr>
          <w:ilvl w:val="0"/>
          <w:numId w:val="2"/>
        </w:numPr>
        <w:spacing w:after="80" w:line="280"/>
      </w:pPr>
      <w:r>
        <w:rPr>
          <w:color w:val="1F2937"/>
          <w:sz w:val="21"/>
          <w:szCs w:val="21"/>
        </w:rPr>
        <w:t xml:space="preserve">postman/ftd-spi-security-verification.postman_collection.json (nuevo, generado con scripts/build-security-verification-postman.js) — verificación en vivo de todo lo anterior salvo lo que solo se puede probar manipulando variables de entorno del servidor.</w:t>
      </w:r>
    </w:p>
    <w:p>
      <w:pPr>
        <w:spacing w:after="140" w:line="300"/>
      </w:pPr>
      <w:r>
        <w:rPr>
          <w:color w:val="1F2937"/>
          <w:sz w:val="21"/>
          <w:szCs w:val="21"/>
        </w:rPr>
        <w:t xml:space="preserve">Verificación final: npx tsc --noEmit sin errores; 12 tests unitarios + 42 tests e2e, todos en verde; pruebas manuales en vivo (FAKE_DB) confirmando 401 antes que 400 sin token, 401 uniforme en rutas inexistentes, 500 ante cifrado obligatorio mal configurado, cabeceras nuevas presentes, CORS sin métodos innecesarios, y el flujo autenticado normal intacto.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2026-08-10T00:51:17.783Z</dcterms:created>
  <dcterms:modified xsi:type="dcterms:W3CDTF">2026-08-10T00:51:17.783Z</dcterms:modified>
</cp:coreProperties>
</file>

<file path=docProps/custom.xml><?xml version="1.0" encoding="utf-8"?>
<Properties xmlns="http://schemas.openxmlformats.org/officeDocument/2006/custom-properties" xmlns:vt="http://schemas.openxmlformats.org/officeDocument/2006/docPropsVTypes"/>
</file>