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002858"/>
          <w:sz w:val="20"/>
          <w:szCs w:val="20"/>
        </w:rPr>
        <w:t xml:space="preserve">SOFTWARE DESIGN DOCUMENT · FARMATODO DIGITAL</w:t>
      </w:r>
    </w:p>
    <w:p>
      <w:pPr>
        <w:pBdr>
          <w:bottom w:val="single" w:color="002858" w:sz="12" w:space="6"/>
        </w:pBdr>
        <w:spacing w:after="40"/>
      </w:pPr>
      <w:r>
        <w:rPr>
          <w:rFonts w:ascii="Arial" w:cs="Arial" w:eastAsia="Arial" w:hAnsi="Arial"/>
          <w:b/>
          <w:bCs/>
          <w:color w:val="1A1F2B"/>
          <w:sz w:val="40"/>
          <w:szCs w:val="40"/>
        </w:rPr>
        <w:t xml:space="preserve">FTD SPI Employee API — Datos maestros de RRHH multi-tenant</w:t>
      </w:r>
    </w:p>
    <w:p>
      <w:pPr>
        <w:spacing w:after="2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002858"/>
          <w:sz w:val="22"/>
          <w:szCs w:val="22"/>
        </w:rPr>
        <w:t xml:space="preserve">Versión 2.0     ·     Runtime Express + GCP App Engine     ·     6 recursos SPI</w:t>
      </w:r>
    </w:p>
    <w:tbl>
      <w:tblPr>
        <w:tblW w:type="dxa" w:w="9360"/>
        <w:tblBorders>
          <w:top w:val="single" w:color="BFC9D4" w:sz="4"/>
          <w:left w:val="single" w:color="BFC9D4" w:sz="4"/>
          <w:bottom w:val="single" w:color="BFC9D4" w:sz="4"/>
          <w:right w:val="single" w:color="BFC9D4" w:sz="4"/>
          <w:insideH w:val="single" w:color="BFC9D4" w:sz="4"/>
          <w:insideV w:val="single" w:color="BFC9D4" w:sz="4"/>
        </w:tblBorders>
      </w:tblPr>
      <w:tblGrid>
        <w:gridCol w:w="2600"/>
        <w:gridCol w:w="6760"/>
      </w:tblGrid>
      <w:tr>
        <w:tc>
          <w:tcPr>
            <w:tcW w:type="dxa" w:w="260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Estado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Implementado — refleja el código actual (rama migrate/express-archetype)</w:t>
            </w:r>
          </w:p>
        </w:tc>
      </w:tr>
      <w:tr>
        <w:tc>
          <w:tcPr>
            <w:tcW w:type="dxa" w:w="260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Autor</w:t>
            </w:r>
          </w:p>
        </w:tc>
        <w:tc>
          <w:tcPr>
            <w:tcW w:type="dxa" w:w="67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Carlos Rodríguez (carlos.rodriguez@farmatodo.com)</w:t>
            </w:r>
          </w:p>
        </w:tc>
      </w:tr>
      <w:tr>
        <w:tc>
          <w:tcPr>
            <w:tcW w:type="dxa" w:w="260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Fecha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16 de julio de 2026</w:t>
            </w:r>
          </w:p>
        </w:tc>
      </w:tr>
      <w:tr>
        <w:tc>
          <w:tcPr>
            <w:tcW w:type="dxa" w:w="260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Ámbito</w:t>
            </w:r>
          </w:p>
        </w:tc>
        <w:tc>
          <w:tcPr>
            <w:tcW w:type="dxa" w:w="67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Backend — servicio ftd-spi-employee en GCP App Engine Standard (arquetipo FTD Express)</w:t>
            </w:r>
          </w:p>
        </w:tc>
      </w:tr>
      <w:tr>
        <w:tc>
          <w:tcPr>
            <w:tcW w:type="dxa" w:w="260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Reemplaza a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SDD v1.0 (2026-07-02) — runtime NestJS / Cloud Run, solo módulo employee</w:t>
            </w:r>
          </w:p>
        </w:tc>
      </w:tr>
      <w:tr>
        <w:tc>
          <w:tcPr>
            <w:tcW w:type="dxa" w:w="260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Fuente de verdad</w:t>
            </w:r>
          </w:p>
        </w:tc>
        <w:tc>
          <w:tcPr>
            <w:tcW w:type="dxa" w:w="67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Código fuente verificado esta sesión (src/, db/, package.json, .env.example)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"/>
          <w:szCs w:val="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E3A6B"/>
          <w:sz w:val="24"/>
          <w:szCs w:val="24"/>
        </w:rPr>
        <w:t xml:space="preserve">Control de versiones</w:t>
      </w:r>
    </w:p>
    <w:tbl>
      <w:tblPr>
        <w:tblW w:type="dxa" w:w="9360"/>
        <w:tblBorders>
          <w:top w:val="single" w:color="BFC9D4" w:sz="4"/>
          <w:left w:val="single" w:color="BFC9D4" w:sz="4"/>
          <w:bottom w:val="single" w:color="BFC9D4" w:sz="4"/>
          <w:right w:val="single" w:color="BFC9D4" w:sz="4"/>
          <w:insideH w:val="single" w:color="BFC9D4" w:sz="4"/>
          <w:insideV w:val="single" w:color="BFC9D4" w:sz="4"/>
        </w:tblBorders>
      </w:tblPr>
      <w:tblGrid>
        <w:gridCol w:w="1100"/>
        <w:gridCol w:w="1500"/>
        <w:gridCol w:w="6760"/>
      </w:tblGrid>
      <w:tr>
        <w:trPr>
          <w:tblHeader/>
        </w:trPr>
        <w:tc>
          <w:tcPr>
            <w:tcW w:type="dxa" w:w="110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Versión</w:t>
            </w:r>
          </w:p>
        </w:tc>
        <w:tc>
          <w:tcPr>
            <w:tcW w:type="dxa" w:w="150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Fecha</w:t>
            </w:r>
          </w:p>
        </w:tc>
        <w:tc>
          <w:tcPr>
            <w:tcW w:type="dxa" w:w="676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Cambios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v1.0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2026-07-02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Diseño inicial. Runtime NestJS 10 / Cloud Run. Único recurso: employee.</w:t>
            </w:r>
          </w:p>
        </w:tc>
      </w:tr>
      <w:tr>
        <w:tc>
          <w:tcPr>
            <w:tcW w:type="dxa" w:w="11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v2.0</w:t>
            </w:r>
          </w:p>
        </w:tc>
        <w:tc>
          <w:tcPr>
            <w:tcW w:type="dxa" w:w="15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2026-07-16</w:t>
            </w:r>
          </w:p>
        </w:tc>
        <w:tc>
          <w:tcPr>
            <w:tcW w:type="dxa" w:w="67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Migración a Express + TypeScript (arquetipo FTD) y despliegue en App Engine. Se documentan los seis recursos (employee, position, company, marital-status, job-post, org-unit). Guards/interceptors → middlewares; @nestjs/throttler → express-rate-limit; se retira Swagger. Contratos HTTP sin cambios.</w:t>
            </w:r>
          </w:p>
        </w:tc>
      </w:tr>
    </w:tbl>
    <w:p>
      <w:r>
        <w:br w:type="page"/>
      </w:r>
    </w:p>
    <w:p>
      <w:pPr>
        <w:spacing w:after="8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002858"/>
          <w:sz w:val="24"/>
          <w:szCs w:val="24"/>
        </w:rPr>
        <w:t xml:space="preserve">Tabla de 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BFC9D4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1. Nota de cambios v1.0 → v2.0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Esta versión reemplaza al SDD v1.0 tras tres cambios respecto al diseño original: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1A1F2B"/>
          <w:sz w:val="20"/>
          <w:szCs w:val="20"/>
        </w:rPr>
        <w:t xml:space="preserve">Migración de runtime NestJS → Express + TypeScript (arquetipo FTD).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Guards e interceptors pasan a middlewares; @nestjs/config a process.env + dotenv; @nestjs/throttler a express-rate-limit; @nestjs/swagger se retira. Los contratos HTTP (rutas, JSON, cifrado P2C) no cambian.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1A1F2B"/>
          <w:sz w:val="20"/>
          <w:szCs w:val="20"/>
        </w:rPr>
        <w:t xml:space="preserve">Despliegue Cloud Run → App Engine Standard (nodejs22).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Se despliega con app.yaml + gcloud app deploy. Docker/Cloud Build quedan como referencia histórica.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1A1F2B"/>
          <w:sz w:val="20"/>
          <w:szCs w:val="20"/>
        </w:rPr>
        <w:t xml:space="preserve">Cinco recursos nuevos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además de employee: position, company, marital-status, job-post, org-unit. Solo position tiene escritura; el resto son de consulta.</w:t>
      </w:r>
    </w:p>
    <w:tbl>
      <w:tblPr>
        <w:tblW w:type="dxa" w:w="9360"/>
        <w:tblBorders>
          <w:top w:val="single" w:color="F6F8FB" w:sz="2"/>
          <w:left w:val="single" w:color="002858" w:sz="24"/>
          <w:bottom w:val="single" w:color="F6F8FB" w:sz="2"/>
          <w:right w:val="single" w:color="F6F8F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9"/>
                <w:szCs w:val="19"/>
              </w:rPr>
              <w:t xml:space="preserve">Contrato de negocio conservado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PKG-first sobre Oracle, contrato JSON en inglés, seguridad JWT RS256, cifrado P2C y multi-tenant por X-Country-Code se mantienen íntegros.</w:t>
            </w:r>
          </w:p>
        </w:tc>
      </w:tr>
    </w:tbl>
    <w:p>
      <w:pPr>
        <w:pStyle w:val="Heading1"/>
        <w:pBdr>
          <w:bottom w:val="single" w:color="BFC9D4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2. Resumen ejecutivo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ftd-spi-employee es un servicio Express + TypeScript que expone la gestión de datos maestros de RRHH del sistema SPI como API RESTful, con Venezuela y Colombia habilitados y Argentina preparada por configuración. Envuelve los paquetes Oracle existentes (estándar FTD: PKG-first) con el contrato I_JSON CLOB → O_JSON CLOB / O_COD / O_MESSAGE, aplica seguridad con JWT RS256 (TTL 12 h) y aísla los datos por región mediante el header X-Country-Code. El principio arquitectónico central es un único despliegue multi-tenant en App Engine con un connection pool oracledb por país; el header de país determina dinámicamente el enrutamiento a la base de datos. Incorpora el estándar de seguridad de Farmatodo: cifrado de payload front↔back con crypto-js (CryptoJS.AES, esquema P2C), rate limiting, HSTS y CORS restringido.</w:t>
      </w:r>
    </w:p>
    <w:p>
      <w:pPr>
        <w:pStyle w:val="Heading1"/>
        <w:pBdr>
          <w:bottom w:val="single" w:color="BFC9D4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3. Objetivo y alcance</w:t>
      </w:r>
    </w:p>
    <w:tbl>
      <w:tblPr>
        <w:tblW w:type="dxa" w:w="9360"/>
        <w:tblBorders>
          <w:top w:val="single" w:color="BFC9D4" w:sz="4"/>
          <w:left w:val="single" w:color="BFC9D4" w:sz="4"/>
          <w:bottom w:val="single" w:color="BFC9D4" w:sz="4"/>
          <w:right w:val="single" w:color="BFC9D4" w:sz="4"/>
          <w:insideH w:val="single" w:color="BFC9D4" w:sz="4"/>
          <w:insideV w:val="single" w:color="BFC9D4" w:sz="4"/>
        </w:tblBorders>
      </w:tblPr>
      <w:tblGrid>
        <w:gridCol w:w="2600"/>
        <w:gridCol w:w="6760"/>
      </w:tblGrid>
      <w:tr>
        <w:tc>
          <w:tcPr>
            <w:tcW w:type="dxa" w:w="260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Objetivo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API RESTful de datos maestros de RRHH (SPI) con seguridad JWT, cifrado P2C y enrutamiento multi-tenant por país</w:t>
            </w:r>
          </w:p>
        </w:tc>
      </w:tr>
      <w:tr>
        <w:tc>
          <w:tcPr>
            <w:tcW w:type="dxa" w:w="260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Incluye</w:t>
            </w:r>
          </w:p>
        </w:tc>
        <w:tc>
          <w:tcPr>
            <w:tcW w:type="dxa" w:w="67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token JWT RS256; CRUD de employee; CRUD parcial de position (create/get/list/update); consulta de company, job-post, org-unit (get/list) y marital-status (list); middleware X-Country-Code; pools Oracle por país (VE y CO activos); despliegue App Engine; quality gate SonarQube ≥80%</w:t>
            </w:r>
          </w:p>
        </w:tc>
      </w:tr>
      <w:tr>
        <w:tc>
          <w:tcPr>
            <w:tcW w:type="dxa" w:w="260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Fuera de alcance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delete en los recursos nuevos; habilitación efectiva de AR (por configuración); UI de gestión de clientes; sincronización con otros sistemas (SIM, RMS); Swagger embebido (retirado en la migración)</w:t>
            </w:r>
          </w:p>
        </w:tc>
      </w:tr>
      <w:tr>
        <w:tc>
          <w:tcPr>
            <w:tcW w:type="dxa" w:w="260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Principio rector</w:t>
            </w:r>
          </w:p>
        </w:tc>
        <w:tc>
          <w:tcPr>
            <w:tcW w:type="dxa" w:w="67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Un solo servicio multi-tenant, PKG-first contra Oracle, contrato en inglés desacoplado del esquema legado por diccionario de mapeo declarativo</w:t>
            </w:r>
          </w:p>
        </w:tc>
      </w:tr>
    </w:tbl>
    <w:p>
      <w:pPr>
        <w:pStyle w:val="Heading1"/>
        <w:pBdr>
          <w:bottom w:val="single" w:color="BFC9D4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4. Drivers de diseño y decisiones clave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1A1F2B"/>
          <w:sz w:val="20"/>
          <w:szCs w:val="20"/>
        </w:rPr>
        <w:t xml:space="preserve">PKG-first (estándar FTD):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toda la operación pasa por procedimientos pkg_management_* con contrato I_JSON/O_JSON/O_COD/O_MESSAGE. Sobre Oracle 12.1.0.2 la entrada se parsea con JSON_TABLE y el JSON de salida se arma a mano (FN_JSON_* + DBMS_LOB). Códigos FTD-200 (éxito) / FTD-201 (sin registros). La lógica de negocio permanece en la BD.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1A1F2B"/>
          <w:sz w:val="20"/>
          <w:szCs w:val="20"/>
        </w:rPr>
        <w:t xml:space="preserve">Runtime Express sobre arquetipo FTD: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src/index.ts compone la app (helmet → parsers → P2C → CORS → logger → timeout → rate limit → router → errorHandler). Sin DI; los módulos exponen router/controller/service/repository. Node 22 en App Engine.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1A1F2B"/>
          <w:sz w:val="20"/>
          <w:szCs w:val="20"/>
        </w:rPr>
        <w:t xml:space="preserve">Multi-tenant en un solo despliegue: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un pool oracledb por país al bootstrap (initializeDatabases); X-Country-Code resuelve el pool por request. País nuevo = variables DB_&lt;CC&gt;_*, sin código.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1A1F2B"/>
          <w:sz w:val="20"/>
          <w:szCs w:val="20"/>
        </w:rPr>
        <w:t xml:space="preserve">Contrato en inglés, esquema en español: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el API usa campos en inglés (idNumber, firstName…); el PKG traduce a columnas legadas y convierte gender M/F ↔ SEXO 1/2. Cada módulo declara *_JSON_FIELDS (toXxxPayload).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1A1F2B"/>
          <w:sz w:val="20"/>
          <w:szCs w:val="20"/>
        </w:rPr>
        <w:t xml:space="preserve">Seguridad autocontenida: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el servicio emite JWT RS256 (llaves en Secret Manager) TTL 12 h con claim countries que country.middleware valida vs X-Country-Code (403).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1A1F2B"/>
          <w:sz w:val="20"/>
          <w:szCs w:val="20"/>
        </w:rPr>
        <w:t xml:space="preserve">Cifrado de payload P2C: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CryptoJS.AES (crypto-js). El front envía RequestJson cifrado y recibe ResponseJson; payload-crypto.middleware descifra antes de validar. Requests en claro siguen funcionando.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1A1F2B"/>
          <w:sz w:val="20"/>
          <w:szCs w:val="20"/>
        </w:rPr>
        <w:t xml:space="preserve">Defensa en profundidad: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helmet + HSTS, express-rate-limit (60/min global, 10/min en token), CORS por CORS_ORIGINS, timingSafeEqual sobre hash SHA-256, límite de body y timeout de request.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1A1F2B"/>
          <w:sz w:val="20"/>
          <w:szCs w:val="20"/>
        </w:rPr>
        <w:t xml:space="preserve">Serverless nativo GCP: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App Engine Standard; conectividad a Oracle vía Serverless VPC Access; secretos en app.yaml/env_variables (sync-env-to-yaml.js) o Secret Manager.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1A1F2B"/>
          <w:sz w:val="20"/>
          <w:szCs w:val="20"/>
        </w:rPr>
        <w:t xml:space="preserve">Calidad verificable: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cobertura ≥80% (lcov) como gate SonarQube; repo en memoria por módulo (FAKE_DB=true) para probar el contrato HTTP sin Oracle.</w:t>
      </w:r>
    </w:p>
    <w:p>
      <w:pPr>
        <w:pStyle w:val="Heading1"/>
        <w:pBdr>
          <w:bottom w:val="single" w:color="BFC9D4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5. Arquitectura y responsabilidades</w:t>
      </w:r>
    </w:p>
    <w:tbl>
      <w:tblPr>
        <w:tblW w:type="dxa" w:w="9360"/>
        <w:tblBorders>
          <w:top w:val="single" w:color="BFC9D4" w:sz="4"/>
          <w:left w:val="single" w:color="BFC9D4" w:sz="4"/>
          <w:bottom w:val="single" w:color="BFC9D4" w:sz="4"/>
          <w:right w:val="single" w:color="BFC9D4" w:sz="4"/>
          <w:insideH w:val="single" w:color="BFC9D4" w:sz="4"/>
          <w:insideV w:val="single" w:color="BFC9D4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76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ftd-spi-employee (App Engine)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Exponer el API REST, validar, autenticar y enrutar por país. Express + TypeScript, Node 22.</w:t>
            </w:r>
          </w:p>
        </w:tc>
      </w:tr>
      <w:tr>
        <w:tc>
          <w:tcPr>
            <w:tcW w:type="dxa" w:w="26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src/index.ts</w:t>
            </w:r>
          </w:p>
        </w:tc>
        <w:tc>
          <w:tcPr>
            <w:tcW w:type="dxa" w:w="67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Composición de middlewares; bootstrap/shutdown de pools (initializeDatabases / closeDatabases en SIGTERM/SIGINT).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Módulo auth (/security)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Emitir JWT RS256 TTL 12 h validando client_id/client_secret (SHA-256 + timingSafeEqual).</w:t>
            </w:r>
          </w:p>
        </w:tc>
      </w:tr>
      <w:tr>
        <w:tc>
          <w:tcPr>
            <w:tcW w:type="dxa" w:w="26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auth.middleware</w:t>
            </w:r>
          </w:p>
        </w:tc>
        <w:tc>
          <w:tcPr>
            <w:tcW w:type="dxa" w:w="67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Validar el Bearer JWT (firma RS256, issuer, vigencia) → 401; publica req.user.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country.middleware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Validar X-Country-Code y resolver tenant: 400 header inválido, 422 país no habilitado, 403 país no autorizado.</w:t>
            </w:r>
          </w:p>
        </w:tc>
      </w:tr>
      <w:tr>
        <w:tc>
          <w:tcPr>
            <w:tcW w:type="dxa" w:w="26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payload-crypto.middleware</w:t>
            </w:r>
          </w:p>
        </w:tc>
        <w:tc>
          <w:tcPr>
            <w:tcW w:type="dxa" w:w="67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Descifrar RequestJson / cifrar ResponseJson (CryptoJS.AES). Global, se activa por presencia de RequestJson.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config/db/oracle (tenant-pools)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Pools oracledb por país (thin) + helper callOraclePkg (binds i_json/o_json/o_cod/o_message, autoCommit, lectura LOB).</w:t>
            </w:r>
          </w:p>
        </w:tc>
      </w:tr>
      <w:tr>
        <w:tc>
          <w:tcPr>
            <w:tcW w:type="dxa" w:w="26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Módulos de recurso</w:t>
            </w:r>
          </w:p>
        </w:tc>
        <w:tc>
          <w:tcPr>
            <w:tcW w:type="dxa" w:w="67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CRUD por recurso: controller → service → repository. Repo en memoria para FAKE_DB.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BD SPI (espejo VE/CO)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Lógica de negocio y datos (pkg_management_* sobre INFOCENT.*). Esquema de conexión people_one; acceso vía VPC connector.</w:t>
            </w:r>
          </w:p>
        </w:tc>
      </w:tr>
      <w:tr>
        <w:tc>
          <w:tcPr>
            <w:tcW w:type="dxa" w:w="26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app.yaml / Secret Manager</w:t>
            </w:r>
          </w:p>
        </w:tc>
        <w:tc>
          <w:tcPr>
            <w:tcW w:type="dxa" w:w="67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Llaves RSA, credenciales Oracle por país, clientes del API, passphrase P2C.</w:t>
            </w:r>
          </w:p>
        </w:tc>
      </w:tr>
    </w:tbl>
    <w:p>
      <w:pPr>
        <w:pStyle w:val="Heading1"/>
        <w:pBdr>
          <w:bottom w:val="single" w:color="BFC9D4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6. Flujo funcional de inicio a fin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El cliente solicita token: POST /security/token con client_id/client_secret.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El servicio valida credenciales contra API_CLIENTS_JSON (SHA-256 + tiempo constante) y responde JWT RS256 (exp = iat + 12h, claim countries).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El cliente invoca un endpoint con Authorization: Bearer y X-Country-Code: VE|CO.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payload-crypto.middleware: si el body trae RequestJson, lo descifra a req.body y marca la respuesta para cifrar.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auth.middleware valida firma RS256, issuer y vigencia (401 si falla).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country.middleware valida el header (400/422/403) y fija req.countryCode → pool Oracle del país.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El controller valida el DTO con class-validator (400 con detalle) y llama al service.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Escritura (employee/position): el repository arma I_JSON y llama PRC_MERGE_*; UPDATE por clave de negocio o INSERT. Éxito (FTD-200) → 201 (create) / 200 (update).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Consulta: PRC_GET_* arma el JSON de salida (claves en inglés). get sin registros → 404; list sin registros → 200 con lista vacía.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Errores Oracle: ORA-00001 → 409; ORA-20000..-20999 e integridad (-1400/-2290/-2291/-2292/-12899) → 422 con mensaje del PKG; resto → 500 sin filtrar detalles.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Todo request queda en Cloud Logging (Winston + @google-cloud/logging-winston) con country, requestId y sub, sin datos sensibles.</w:t>
      </w:r>
    </w:p>
    <w:p>
      <w:pPr>
        <w:pStyle w:val="Heading1"/>
        <w:pBdr>
          <w:bottom w:val="single" w:color="BFC9D4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7. Recursos y endpoints de la V2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Estilo de ruta Farmatodo: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F2B"/>
          <w:sz w:val="20"/>
          <w:szCs w:val="20"/>
        </w:rPr>
        <w:t xml:space="preserve">POST /ftd-spi-employee/rest/{recurso}/{verbo}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, verbo al final, identificador en el body (nunca en la URL). Todas las rutas de negocio pasan por auth.middleware + country.middleware.</w:t>
      </w:r>
    </w:p>
    <w:tbl>
      <w:tblPr>
        <w:tblW w:type="dxa" w:w="9360"/>
        <w:tblBorders>
          <w:top w:val="single" w:color="BFC9D4" w:sz="4"/>
          <w:left w:val="single" w:color="BFC9D4" w:sz="4"/>
          <w:bottom w:val="single" w:color="BFC9D4" w:sz="4"/>
          <w:right w:val="single" w:color="BFC9D4" w:sz="4"/>
          <w:insideH w:val="single" w:color="BFC9D4" w:sz="4"/>
          <w:insideV w:val="single" w:color="BFC9D4" w:sz="4"/>
        </w:tblBorders>
      </w:tblPr>
      <w:tblGrid>
        <w:gridCol w:w="1650"/>
        <w:gridCol w:w="1700"/>
        <w:gridCol w:w="2200"/>
        <w:gridCol w:w="2110"/>
        <w:gridCol w:w="700"/>
      </w:tblGrid>
      <w:tr>
        <w:trPr>
          <w:tblHeader/>
        </w:trPr>
        <w:tc>
          <w:tcPr>
            <w:tcW w:type="dxa" w:w="165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Recurso</w:t>
            </w:r>
          </w:p>
        </w:tc>
        <w:tc>
          <w:tcPr>
            <w:tcW w:type="dxa" w:w="170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Tabla (INFOCENT.)</w:t>
            </w:r>
          </w:p>
        </w:tc>
        <w:tc>
          <w:tcPr>
            <w:tcW w:type="dxa" w:w="220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PKG</w:t>
            </w:r>
          </w:p>
        </w:tc>
        <w:tc>
          <w:tcPr>
            <w:tcW w:type="dxa" w:w="211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Operaciones</w:t>
            </w:r>
          </w:p>
        </w:tc>
        <w:tc>
          <w:tcPr>
            <w:tcW w:type="dxa" w:w="70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Escr.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auth (/security)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—</w:t>
            </w:r>
          </w:p>
        </w:tc>
        <w:tc>
          <w:tcPr>
            <w:tcW w:type="dxa" w:w="21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token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5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employee</w:t>
            </w:r>
          </w:p>
        </w:tc>
        <w:tc>
          <w:tcPr>
            <w:tcW w:type="dxa" w:w="17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EO_PERSONA</w:t>
            </w:r>
          </w:p>
        </w:tc>
        <w:tc>
          <w:tcPr>
            <w:tcW w:type="dxa" w:w="22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PKG_MANAGEMENT_EMPLOYEE</w:t>
            </w:r>
          </w:p>
        </w:tc>
        <w:tc>
          <w:tcPr>
            <w:tcW w:type="dxa" w:w="211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create, get, list, update, delete</w:t>
            </w:r>
          </w:p>
        </w:tc>
        <w:tc>
          <w:tcPr>
            <w:tcW w:type="dxa" w:w="7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F4B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position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EO_CARGO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PKG_MANAGEMENT_POSITION</w:t>
            </w:r>
          </w:p>
        </w:tc>
        <w:tc>
          <w:tcPr>
            <w:tcW w:type="dxa" w:w="21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create, get, list, update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F4B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165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company</w:t>
            </w:r>
          </w:p>
        </w:tc>
        <w:tc>
          <w:tcPr>
            <w:tcW w:type="dxa" w:w="17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EO_EMPRESA</w:t>
            </w:r>
          </w:p>
        </w:tc>
        <w:tc>
          <w:tcPr>
            <w:tcW w:type="dxa" w:w="22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PKG_MANAGEMENT_COMPANY</w:t>
            </w:r>
          </w:p>
        </w:tc>
        <w:tc>
          <w:tcPr>
            <w:tcW w:type="dxa" w:w="211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get, list</w:t>
            </w:r>
          </w:p>
        </w:tc>
        <w:tc>
          <w:tcPr>
            <w:tcW w:type="dxa" w:w="7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marital-status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EO_ESTADO_CIVIL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PKG_MANAGEMENT_MARITAL_STATUS</w:t>
            </w:r>
          </w:p>
        </w:tc>
        <w:tc>
          <w:tcPr>
            <w:tcW w:type="dxa" w:w="21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list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5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job-post</w:t>
            </w:r>
          </w:p>
        </w:tc>
        <w:tc>
          <w:tcPr>
            <w:tcW w:type="dxa" w:w="17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EO_PUESTO</w:t>
            </w:r>
          </w:p>
        </w:tc>
        <w:tc>
          <w:tcPr>
            <w:tcW w:type="dxa" w:w="22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PKG_MANAGEMENT_JOB_POST</w:t>
            </w:r>
          </w:p>
        </w:tc>
        <w:tc>
          <w:tcPr>
            <w:tcW w:type="dxa" w:w="211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get, list</w:t>
            </w:r>
          </w:p>
        </w:tc>
        <w:tc>
          <w:tcPr>
            <w:tcW w:type="dxa" w:w="7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org-unit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EO_UNIDAD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PKG_MANAGEMENT_ORG_UNIT</w:t>
            </w:r>
          </w:p>
        </w:tc>
        <w:tc>
          <w:tcPr>
            <w:tcW w:type="dxa" w:w="21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get, list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5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health</w:t>
            </w:r>
          </w:p>
        </w:tc>
        <w:tc>
          <w:tcPr>
            <w:tcW w:type="dxa" w:w="17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—</w:t>
            </w:r>
          </w:p>
        </w:tc>
        <w:tc>
          <w:tcPr>
            <w:tcW w:type="dxa" w:w="211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GET /health, /health/ready</w:t>
            </w:r>
          </w:p>
        </w:tc>
        <w:tc>
          <w:tcPr>
            <w:tcW w:type="dxa" w:w="7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Púb.</w:t>
            </w:r>
          </w:p>
        </w:tc>
      </w:tr>
    </w:tbl>
    <w:p>
      <w:pPr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18"/>
          <w:szCs w:val="18"/>
        </w:rPr>
        <w:t xml:space="preserve">Los nombres de PKG son configurables por entorno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F2B"/>
          <w:sz w:val="16"/>
          <w:szCs w:val="16"/>
        </w:rPr>
        <w:t xml:space="preserve">(EMPLOYEE_PKG, POSITION_PKG, COMPANY_PKG, MARITAL_STATUS_PKG, JOB_POST_PKG, ORG_UNIT_PKG)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18"/>
          <w:szCs w:val="18"/>
        </w:rPr>
        <w:t xml:space="preserve">; los defaults van sin prefijo de esquema y se resuelven en el esquema de conexión (people_one).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E3A6B"/>
          <w:sz w:val="24"/>
          <w:szCs w:val="24"/>
        </w:rPr>
        <w:t xml:space="preserve">7.1  POST /security/token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Emite el token de acceso (único endpoint de negocio público, junto a health).</w:t>
      </w:r>
    </w:p>
    <w:p>
      <w:pPr>
        <w:pBdr>
          <w:top w:val="single" w:color="0B1F33" w:sz="2"/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Request : { "client_id": "hr-integration", "client_secret": "********" }</w:t>
      </w:r>
    </w:p>
    <w:p>
      <w:pPr>
        <w:pBdr>
          <w:bottom w:val="single" w:color="0B1F33" w:sz="2"/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Response: { "access_token": "eyJ...", "token_type": "Bearer", "expires_in": 43200 }</w:t>
      </w:r>
    </w:p>
    <w:p>
      <w:pPr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18"/>
          <w:szCs w:val="18"/>
        </w:rPr>
        <w:t xml:space="preserve">Credenciales inválidas → 401; body incompleto → 400; expires_in = JWT_TTL_SECONDS (12 h). Rate limit: 10 req/min (429).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E3A6B"/>
          <w:sz w:val="24"/>
          <w:szCs w:val="24"/>
        </w:rPr>
        <w:t xml:space="preserve">7.2  employee — CRUD completo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create (201 {idNumber, message}), get, list ({page, size, items}), update, delete (204). get/update/delete reciben idNumber en el body; list recibe {page, size} (size máx. 100, default 20; page default 1). Obligatorios en create: idNumber, nationality, firstName, lastName, birthDate, gender (los NOT NULL de EO_PERSONA). gender viaja M/F y el PKG lo traduce a SEXO '1'/'2'. Duplicado → 409; validación por campo → 400; O_COD ≠ éxito → 422.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E3A6B"/>
          <w:sz w:val="24"/>
          <w:szCs w:val="24"/>
        </w:rPr>
        <w:t xml:space="preserve">7.3  position — create/get/list/update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Clave compuesta companyId + id. create (201 {companyId, id, message}) y update envuelven PRC_MERGE_POSITION; get/list usan PRC_GET_POSITION. Obligatorios en create: companyId (≤4), id (≤10), name (≤50). update requiere companyId + id.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E3A6B"/>
          <w:sz w:val="24"/>
          <w:szCs w:val="24"/>
        </w:rPr>
        <w:t xml:space="preserve">7.4  company / job-post / org-unit — get + list; marital-status — list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Solo consulta. get recibe la clave en el body y devuelve el recurso (404 si no existe); list recibe {page, size} y devuelve {page, size, items} (200, lista vacía si no hay registros). Claves: company → id; org-unit → companyId + id; job-post → companyId + unitId + id; marital-status solo list.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E3A6B"/>
          <w:sz w:val="24"/>
          <w:szCs w:val="24"/>
        </w:rPr>
        <w:t xml:space="preserve">7.5  GET /health · GET /health/ready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Liveness ({ "status": "ok" }) y readiness ({ "status": "ok", "countries": [...] }, países con pool activo). Públicos, sin token ni header.</w:t>
      </w:r>
    </w:p>
    <w:p>
      <w:pPr>
        <w:pStyle w:val="Heading1"/>
        <w:pBdr>
          <w:bottom w:val="single" w:color="BFC9D4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8. Seguridad y cifrado de payload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Controles aplicados (defensa en profundidad, implementación real Express):</w:t>
      </w:r>
    </w:p>
    <w:tbl>
      <w:tblPr>
        <w:tblW w:type="dxa" w:w="9360"/>
        <w:tblBorders>
          <w:top w:val="single" w:color="BFC9D4" w:sz="4"/>
          <w:left w:val="single" w:color="BFC9D4" w:sz="4"/>
          <w:bottom w:val="single" w:color="BFC9D4" w:sz="4"/>
          <w:right w:val="single" w:color="BFC9D4" w:sz="4"/>
          <w:insideH w:val="single" w:color="BFC9D4" w:sz="4"/>
          <w:insideV w:val="single" w:color="BFC9D4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Control</w:t>
            </w:r>
          </w:p>
        </w:tc>
        <w:tc>
          <w:tcPr>
            <w:tcW w:type="dxa" w:w="636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Implementación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JWT RS256 (jsonwebtoken), algoritmo fijado, issuer validado, TTL 12 h; llaves en Secret Manager (base64) → auth.middleware</w:t>
            </w:r>
          </w:p>
        </w:tc>
      </w:tr>
      <w:tr>
        <w:tc>
          <w:tcPr>
            <w:tcW w:type="dxa" w:w="30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Autorización por país</w:t>
            </w:r>
          </w:p>
        </w:tc>
        <w:tc>
          <w:tcPr>
            <w:tcW w:type="dxa" w:w="63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country.middleware valida el claim countries del token vs X-Country-Code → 403 si no autorizado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Cifrado en tránsito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TLS terminado en App Engine + HSTS (helmet, maxAge 1 año, includeSubDomains, preload)</w:t>
            </w:r>
          </w:p>
        </w:tc>
      </w:tr>
      <w:tr>
        <w:tc>
          <w:tcPr>
            <w:tcW w:type="dxa" w:w="30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Cifrado de payload (P2C)</w:t>
            </w:r>
          </w:p>
        </w:tc>
        <w:tc>
          <w:tcPr>
            <w:tcW w:type="dxa" w:w="63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CryptoJS.AES (crypto-js) vía payload-crypto.middleware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express-rate-limit: 60 req/min global en /ftd-spi-employee/rest, 10 req/min en /security/token (429)</w:t>
            </w:r>
          </w:p>
        </w:tc>
      </w:tr>
      <w:tr>
        <w:tc>
          <w:tcPr>
            <w:tcW w:type="dxa" w:w="30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CORS</w:t>
            </w:r>
          </w:p>
        </w:tc>
        <w:tc>
          <w:tcPr>
            <w:tcW w:type="dxa" w:w="63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Allowlist por CORS_ORIGINS, credentials true, métodos y headers explícitos; deshabilitado si la lista está vacía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Cabeceras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helmet (HSTS, X-Content-Type-Options, X-Frame-Options, etc.)</w:t>
            </w:r>
          </w:p>
        </w:tc>
      </w:tr>
      <w:tr>
        <w:tc>
          <w:tcPr>
            <w:tcW w:type="dxa" w:w="30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Credenciales de cliente</w:t>
            </w:r>
          </w:p>
        </w:tc>
        <w:tc>
          <w:tcPr>
            <w:tcW w:type="dxa" w:w="63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Hash SHA-256, comparación en tiempo constante (crypto.timingSafeEqual)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Validación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class-validator + class-transformer (DTOs por operación; longitudes reales de columna) → 400</w:t>
            </w:r>
          </w:p>
        </w:tc>
      </w:tr>
      <w:tr>
        <w:tc>
          <w:tcPr>
            <w:tcW w:type="dxa" w:w="30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Límite de payload</w:t>
            </w:r>
          </w:p>
        </w:tc>
        <w:tc>
          <w:tcPr>
            <w:tcW w:type="dxa" w:w="63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express.json/urlencoded con BODY_PARSER_LIMIT (default 1mb)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Timeout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REQUEST_TIMEOUT_MS (default 30 s) por request</w:t>
            </w:r>
          </w:p>
        </w:tc>
      </w:tr>
      <w:tr>
        <w:tc>
          <w:tcPr>
            <w:tcW w:type="dxa" w:w="30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63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El PKG parametriza con JSON_TABLE; el API nunca concatena SQL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Superficie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Sin Swagger embebido; / responde un texto de salud simple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E3A6B"/>
          <w:sz w:val="24"/>
          <w:szCs w:val="24"/>
        </w:rPr>
        <w:t xml:space="preserve">Cifrado de payload (compatible con el front Farmatodo)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Librería crypto-js, esquema CryptoJS.AES.encrypt(JSON.stringify(data), KEY) → base64 con prefijo Salted__ (OpenSSL, AES-CBC + KDF por passphrase).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Request: el front envía RequestJson (form-urlencoded o JSON); el middleware lo descifra antes de la validación.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Response: si el request llegó cifrado, la respuesta se envuelve como ResponseJson cifrado con la misma passphrase.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Llave PAYLOAD_ENCRYPTION_KEY (Secret Manager). Vacía = cifrado deshabilitado. Payload cifrado inválido → 400.</w:t>
      </w:r>
    </w:p>
    <w:p>
      <w:pPr>
        <w:pBdr>
          <w:top w:val="single" w:color="0B1F33" w:sz="2"/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Front (crypto-js)                 ftd-spi-employee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  data -&gt; CryptoJS.AES.encrypt --&gt; RequestJson (cifrado)</w:t>
      </w:r>
    </w:p>
    <w:p>
      <w:pPr>
        <w:pBdr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                                    -&gt; middleware descifra -&gt; DTO valida -&gt; PKG</w:t>
      </w:r>
    </w:p>
    <w:p>
      <w:pPr>
        <w:pBdr>
          <w:bottom w:val="single" w:color="0B1F33" w:sz="2"/>
          <w:left w:val="single" w:color="3D6FA6" w:sz="24" w:space="6"/>
        </w:pBdr>
        <w:shd w:fill="0B1F33" w:color="auto" w:val="clear"/>
        <w:spacing w:after="0" w:before="0" w:line="24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  CryptoJS.AES.decrypt &lt;---------- ResponseJson (cifrado) &lt;- middleware cifra</w:t>
      </w:r>
    </w:p>
    <w:p>
      <w:pPr>
        <w:pStyle w:val="Heading1"/>
        <w:pBdr>
          <w:bottom w:val="single" w:color="BFC9D4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9. Modelo de datos y mapeo de campos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El servicio no crea tablas propias: opera sobre tablas INFOCENT.* (espejo de producción) vía los pkg_management_*. Los campos de auditoría (USRCRE/FECCRE/USRACT/FECACT) los asigna el PKG.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E3A6B"/>
          <w:sz w:val="24"/>
          <w:szCs w:val="24"/>
        </w:rPr>
        <w:t xml:space="preserve">employee → EO_PERSONA (clave idNumber)</w:t>
      </w:r>
    </w:p>
    <w:tbl>
      <w:tblPr>
        <w:tblW w:type="dxa" w:w="9360"/>
        <w:tblBorders>
          <w:top w:val="single" w:color="BFC9D4" w:sz="4"/>
          <w:left w:val="single" w:color="BFC9D4" w:sz="4"/>
          <w:bottom w:val="single" w:color="BFC9D4" w:sz="4"/>
          <w:right w:val="single" w:color="BFC9D4" w:sz="4"/>
          <w:insideH w:val="single" w:color="BFC9D4" w:sz="4"/>
          <w:insideV w:val="single" w:color="BFC9D4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Campo API</w:t>
            </w:r>
          </w:p>
        </w:tc>
        <w:tc>
          <w:tcPr>
            <w:tcW w:type="dxa" w:w="240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Columna</w:t>
            </w:r>
          </w:p>
        </w:tc>
        <w:tc>
          <w:tcPr>
            <w:tcW w:type="dxa" w:w="456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Regla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idNumber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NUM_IDEN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VARCHAR2(20) — identificador de negocio</w:t>
            </w:r>
          </w:p>
        </w:tc>
      </w:tr>
      <w:tr>
        <w:tc>
          <w:tcPr>
            <w:tcW w:type="dxa" w:w="24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idType</w:t>
            </w:r>
          </w:p>
        </w:tc>
        <w:tc>
          <w:tcPr>
            <w:tcW w:type="dxa" w:w="24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ID_TIPO_IDEN</w:t>
            </w:r>
          </w:p>
        </w:tc>
        <w:tc>
          <w:tcPr>
            <w:tcW w:type="dxa" w:w="45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VARCHAR2(2), FK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nationality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NACIONAL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VARCHAR2(50) NOT NULL</w:t>
            </w:r>
          </w:p>
        </w:tc>
      </w:tr>
      <w:tr>
        <w:tc>
          <w:tcPr>
            <w:tcW w:type="dxa" w:w="24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passport</w:t>
            </w:r>
          </w:p>
        </w:tc>
        <w:tc>
          <w:tcPr>
            <w:tcW w:type="dxa" w:w="24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PASAPORTE</w:t>
            </w:r>
          </w:p>
        </w:tc>
        <w:tc>
          <w:tcPr>
            <w:tcW w:type="dxa" w:w="45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VARCHAR2(10)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firstName / middleName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NOMBRE1 / NOMBRE2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VARCHAR2(17) NOT NULL / VARCHAR2(15)</w:t>
            </w:r>
          </w:p>
        </w:tc>
      </w:tr>
      <w:tr>
        <w:tc>
          <w:tcPr>
            <w:tcW w:type="dxa" w:w="24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lastName / secondLastName</w:t>
            </w:r>
          </w:p>
        </w:tc>
        <w:tc>
          <w:tcPr>
            <w:tcW w:type="dxa" w:w="24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APELLIDO1 / APELLIDO2</w:t>
            </w:r>
          </w:p>
        </w:tc>
        <w:tc>
          <w:tcPr>
            <w:tcW w:type="dxa" w:w="45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VARCHAR2(17) NOT NULL / VARCHAR2(15)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birthDate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FECHA_NA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DATE NOT NULL (YYYY-MM-DD)</w:t>
            </w:r>
          </w:p>
        </w:tc>
      </w:tr>
      <w:tr>
        <w:tc>
          <w:tcPr>
            <w:tcW w:type="dxa" w:w="24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gender</w:t>
            </w:r>
          </w:p>
        </w:tc>
        <w:tc>
          <w:tcPr>
            <w:tcW w:type="dxa" w:w="24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SEXO</w:t>
            </w:r>
          </w:p>
        </w:tc>
        <w:tc>
          <w:tcPr>
            <w:tcW w:type="dxa" w:w="45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VARCHAR2(1) NOT NULL — M/F ↔ '1'/'2' (DECODE)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maritalStatus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EDO_CIVIL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VARCHAR2(30)</w:t>
            </w:r>
          </w:p>
        </w:tc>
      </w:tr>
      <w:tr>
        <w:tc>
          <w:tcPr>
            <w:tcW w:type="dxa" w:w="24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address / city</w:t>
            </w:r>
          </w:p>
        </w:tc>
        <w:tc>
          <w:tcPr>
            <w:tcW w:type="dxa" w:w="24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DIRECCION / CIUDAD</w:t>
            </w:r>
          </w:p>
        </w:tc>
        <w:tc>
          <w:tcPr>
            <w:tcW w:type="dxa" w:w="45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VARCHAR2(120) / VARCHAR2(30)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phone / mobile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TELEFONO1 / CELULAR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VARCHAR2(15)</w:t>
            </w:r>
          </w:p>
        </w:tc>
      </w:tr>
      <w:tr>
        <w:tc>
          <w:tcPr>
            <w:tcW w:type="dxa" w:w="24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E_MAIL1</w:t>
            </w:r>
          </w:p>
        </w:tc>
        <w:tc>
          <w:tcPr>
            <w:tcW w:type="dxa" w:w="45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VARCHAR2(60)</w:t>
            </w:r>
          </w:p>
        </w:tc>
      </w:tr>
    </w:tbl>
    <w:p>
      <w:pPr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18"/>
          <w:szCs w:val="18"/>
        </w:rPr>
        <w:t xml:space="preserve">El PK ID (NUMBER) es interno; el upsert casa por NUM_IDEN y genera el ID desde INFOCENT.SPI_KEY (name_key='EOPERSONA'). Idempotente por NUM_IDEN.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E3A6B"/>
          <w:sz w:val="24"/>
          <w:szCs w:val="24"/>
        </w:rPr>
        <w:t xml:space="preserve">Recursos nuevos (API → columna Oracle)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1A1F2B"/>
          <w:sz w:val="20"/>
          <w:szCs w:val="20"/>
        </w:rPr>
        <w:t xml:space="preserve">position → EO_CARGO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(companyId+id): companyId→ID_EMPRESA, id→ID, name→NOMBRE, classificationId→ID_CLASIFICA, parentPositionId→ID_CARGO_SUP, description→DESCRIP, functions→FUNCION, purpose→PROPOSITO, risk→RIESGO.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1A1F2B"/>
          <w:sz w:val="20"/>
          <w:szCs w:val="20"/>
        </w:rPr>
        <w:t xml:space="preserve">company → EO_EMPRESA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(id): id→ID, name→NOMBRE, shortName→NOMBRE_ABREV, sector→SECTOR_EMP, isPublic→PUBLICA, taxId1→RIF1, taxId2→RIF2, address→DIRECCION, city→CIUDAD, postalCode→COD_POSTAL, phone1→TELEFONO1, phone2→TELEFONO2, webPage→PAGINA_WEB, email→E_MAIL.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1A1F2B"/>
          <w:sz w:val="20"/>
          <w:szCs w:val="20"/>
        </w:rPr>
        <w:t xml:space="preserve">marital-status → EO_ESTADO_CIVIL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(id): id→ID, name→NOMBRE, legalCode→CODIGO_LEY.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1A1F2B"/>
          <w:sz w:val="20"/>
          <w:szCs w:val="20"/>
        </w:rPr>
        <w:t xml:space="preserve">job-post → EO_PUESTO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(companyId+unitId+id): companyId→ID_EMPRESA, unitId→ID_UNIDAD, id→ID, name→NOMBRE, positionId→ID_CARGO, description→DESCRIP, functions→FUNCION, startDate→FECHA_INI, endDate→FECHA_FIN, risk→RIESGO.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1A1F2B"/>
          <w:sz w:val="20"/>
          <w:szCs w:val="20"/>
        </w:rPr>
        <w:t xml:space="preserve">org-unit → EO_UNIDAD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(companyId+id): companyId→ID_EMPRESA, id→ID, name→NOMBRE, functions→FUNCIONES, adminLocation→UBICA_ADMIN, startDate→FECHA_INI, endDate→FECHA_FIN, parentUnitId→ID_UNIDAD_SUP, maxPosts→MAX_PUESTO.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E3A6B"/>
          <w:sz w:val="24"/>
          <w:szCs w:val="24"/>
        </w:rPr>
        <w:t xml:space="preserve">Procedimientos por PKG (contrato I_JSON/O_JSON/O_COD/O_MESSAGE)</w:t>
      </w:r>
    </w:p>
    <w:tbl>
      <w:tblPr>
        <w:tblW w:type="dxa" w:w="9360"/>
        <w:tblBorders>
          <w:top w:val="single" w:color="BFC9D4" w:sz="4"/>
          <w:left w:val="single" w:color="BFC9D4" w:sz="4"/>
          <w:bottom w:val="single" w:color="BFC9D4" w:sz="4"/>
          <w:right w:val="single" w:color="BFC9D4" w:sz="4"/>
          <w:insideH w:val="single" w:color="BFC9D4" w:sz="4"/>
          <w:insideV w:val="single" w:color="BFC9D4" w:sz="4"/>
        </w:tblBorders>
      </w:tblPr>
      <w:tblGrid>
        <w:gridCol w:w="3200"/>
        <w:gridCol w:w="3560"/>
        <w:gridCol w:w="2600"/>
      </w:tblGrid>
      <w:tr>
        <w:trPr>
          <w:tblHeader/>
        </w:trPr>
        <w:tc>
          <w:tcPr>
            <w:tcW w:type="dxa" w:w="320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PKG</w:t>
            </w:r>
          </w:p>
        </w:tc>
        <w:tc>
          <w:tcPr>
            <w:tcW w:type="dxa" w:w="356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Procedimientos</w:t>
            </w:r>
          </w:p>
        </w:tc>
        <w:tc>
          <w:tcPr>
            <w:tcW w:type="dxa" w:w="260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PKG_MANAGEMENT_EMPLOYEE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PRC_GET_EMPLOYEE, PRC_MERGE_EMPLOYEE, PRC_DELETE_EMPLOYEE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get/list, create/update, delete lógico</w:t>
            </w:r>
          </w:p>
        </w:tc>
      </w:tr>
      <w:tr>
        <w:tc>
          <w:tcPr>
            <w:tcW w:type="dxa" w:w="32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PKG_MANAGEMENT_POSITION</w:t>
            </w:r>
          </w:p>
        </w:tc>
        <w:tc>
          <w:tcPr>
            <w:tcW w:type="dxa" w:w="35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PRC_GET_POSITION, PRC_MERGE_POSITION</w:t>
            </w:r>
          </w:p>
        </w:tc>
        <w:tc>
          <w:tcPr>
            <w:tcW w:type="dxa" w:w="26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get/list, create/update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PKG_MANAGEMENT_COMPANY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PRC_GET_COMPANY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get/list</w:t>
            </w:r>
          </w:p>
        </w:tc>
      </w:tr>
      <w:tr>
        <w:tc>
          <w:tcPr>
            <w:tcW w:type="dxa" w:w="32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PKG_MANAGEMENT_MARITAL_STATUS</w:t>
            </w:r>
          </w:p>
        </w:tc>
        <w:tc>
          <w:tcPr>
            <w:tcW w:type="dxa" w:w="35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PRC_GET_MARITAL_STATUS</w:t>
            </w:r>
          </w:p>
        </w:tc>
        <w:tc>
          <w:tcPr>
            <w:tcW w:type="dxa" w:w="26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list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PKG_MANAGEMENT_JOB_POST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PRC_GET_JOB_POST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get/list</w:t>
            </w:r>
          </w:p>
        </w:tc>
      </w:tr>
      <w:tr>
        <w:tc>
          <w:tcPr>
            <w:tcW w:type="dxa" w:w="32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PKG_MANAGEMENT_ORG_UNIT</w:t>
            </w:r>
          </w:p>
        </w:tc>
        <w:tc>
          <w:tcPr>
            <w:tcW w:type="dxa" w:w="35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PRC_GET_ORG_UNIT</w:t>
            </w:r>
          </w:p>
        </w:tc>
        <w:tc>
          <w:tcPr>
            <w:tcW w:type="dxa" w:w="26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get/list</w:t>
            </w:r>
          </w:p>
        </w:tc>
      </w:tr>
    </w:tbl>
    <w:p>
      <w:pPr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18"/>
          <w:szCs w:val="18"/>
        </w:rPr>
        <w:t xml:space="preserve">Los scripts completos (spec + body, Oracle 12.1) se entregan en db/pkg_management_*_api.sql. Los nombres reales de procedimiento se confirman con el DBA.</w:t>
      </w:r>
    </w:p>
    <w:p>
      <w:pPr>
        <w:pStyle w:val="Heading1"/>
        <w:pBdr>
          <w:bottom w:val="single" w:color="BFC9D4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10. Riesgos y mitigaciones</w:t>
      </w:r>
    </w:p>
    <w:tbl>
      <w:tblPr>
        <w:tblW w:type="dxa" w:w="9360"/>
        <w:tblBorders>
          <w:top w:val="single" w:color="BFC9D4" w:sz="4"/>
          <w:left w:val="single" w:color="BFC9D4" w:sz="4"/>
          <w:bottom w:val="single" w:color="BFC9D4" w:sz="4"/>
          <w:right w:val="single" w:color="BFC9D4" w:sz="4"/>
          <w:insideH w:val="single" w:color="BFC9D4" w:sz="4"/>
          <w:insideV w:val="single" w:color="BFC9D4" w:sz="4"/>
        </w:tblBorders>
      </w:tblPr>
      <w:tblGrid>
        <w:gridCol w:w="3000"/>
        <w:gridCol w:w="3080"/>
        <w:gridCol w:w="3280"/>
      </w:tblGrid>
      <w:tr>
        <w:trPr>
          <w:tblHeader/>
        </w:trPr>
        <w:tc>
          <w:tcPr>
            <w:tcW w:type="dxa" w:w="300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Riesgo</w:t>
            </w:r>
          </w:p>
        </w:tc>
        <w:tc>
          <w:tcPr>
            <w:tcW w:type="dxa" w:w="308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Impacto</w:t>
            </w:r>
          </w:p>
        </w:tc>
        <w:tc>
          <w:tcPr>
            <w:tcW w:type="dxa" w:w="328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Mitigación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Oracle 12.1.0.2: JSON_OBJECT/JSON_ARRAYAGG sin RETURNING CLOB</w:t>
            </w:r>
          </w:p>
        </w:tc>
        <w:tc>
          <w:tcPr>
            <w:tcW w:type="dxa" w:w="308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El GET no arma el JSON con funciones nativas</w:t>
            </w:r>
          </w:p>
        </w:tc>
        <w:tc>
          <w:tcPr>
            <w:tcW w:type="dxa" w:w="328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Resuelto: el PKG arma el CLOB a mano (FN_JSON_* + DBMS_LOB); JSON_TABLE y OFFSET/FETCH sí están en 12.1</w:t>
            </w:r>
          </w:p>
        </w:tc>
      </w:tr>
      <w:tr>
        <w:tc>
          <w:tcPr>
            <w:tcW w:type="dxa" w:w="30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Firma real de los PKG distinta de la asumida</w:t>
            </w:r>
          </w:p>
        </w:tc>
        <w:tc>
          <w:tcPr>
            <w:tcW w:type="dxa" w:w="308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Errores en runtime al invocar</w:t>
            </w:r>
          </w:p>
        </w:tc>
        <w:tc>
          <w:tcPr>
            <w:tcW w:type="dxa" w:w="328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Confirmar con el DBA al compilar; PKG y códigos configurables por env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Valores de PKG_GLOBAL_CONSTANTS distintos a FTD-200/FTD-201</w:t>
            </w:r>
          </w:p>
        </w:tc>
        <w:tc>
          <w:tcPr>
            <w:tcW w:type="dxa" w:w="308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Mapeo HTTP incorrecto</w:t>
            </w:r>
          </w:p>
        </w:tc>
        <w:tc>
          <w:tcPr>
            <w:tcW w:type="dxa" w:w="328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Configurables (PKG_SUCCESS_CODE/PKG_NORECORDS_CODE); confirmar por entorno</w:t>
            </w:r>
          </w:p>
        </w:tc>
      </w:tr>
      <w:tr>
        <w:tc>
          <w:tcPr>
            <w:tcW w:type="dxa" w:w="30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Cobertura de pruebas por debajo del gate tras la migración</w:t>
            </w:r>
          </w:p>
        </w:tc>
        <w:tc>
          <w:tcPr>
            <w:tcW w:type="dxa" w:w="308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Riesgo de regresión no detectada; gate SonarQube en rojo</w:t>
            </w:r>
          </w:p>
        </w:tc>
        <w:tc>
          <w:tcPr>
            <w:tcW w:type="dxa" w:w="328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Re-establecer la suite (unit + e2e) para los 6 módulos hasta ≥80% (ver §11)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Conectividad App Engine → BD SPI (VPC connector)</w:t>
            </w:r>
          </w:p>
        </w:tc>
        <w:tc>
          <w:tcPr>
            <w:tcW w:type="dxa" w:w="308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Bloquea despliegue e integración</w:t>
            </w:r>
          </w:p>
        </w:tc>
        <w:tc>
          <w:tcPr>
            <w:tcW w:type="dxa" w:w="328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Solicitar el connector a redes; desarrollo y tests con FAKE_DB no dependen de la BD</w:t>
            </w:r>
          </w:p>
        </w:tc>
      </w:tr>
      <w:tr>
        <w:tc>
          <w:tcPr>
            <w:tcW w:type="dxa" w:w="30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Fuga de secretos (RSA, credenciales Oracle, passphrase P2C)</w:t>
            </w:r>
          </w:p>
        </w:tc>
        <w:tc>
          <w:tcPr>
            <w:tcW w:type="dxa" w:w="308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Acceso indebido a datos</w:t>
            </w:r>
          </w:p>
        </w:tc>
        <w:tc>
          <w:tcPr>
            <w:tcW w:type="dxa" w:w="328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Secret Manager / app.yaml fuera de repo; nunca en logs; rotación documentada</w:t>
            </w:r>
          </w:p>
        </w:tc>
      </w:tr>
    </w:tbl>
    <w:p>
      <w:pPr>
        <w:pStyle w:val="Heading1"/>
        <w:pBdr>
          <w:bottom w:val="single" w:color="BFC9D4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11. Estado de pruebas y calidad</w:t>
      </w:r>
    </w:p>
    <w:tbl>
      <w:tblPr>
        <w:tblW w:type="dxa" w:w="9360"/>
        <w:tblBorders>
          <w:top w:val="single" w:color="FBF1E1" w:sz="2"/>
          <w:left w:val="single" w:color="B26A00" w:sz="24"/>
          <w:bottom w:val="single" w:color="FBF1E1" w:sz="2"/>
          <w:right w:val="single" w:color="FBF1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1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6A00"/>
                <w:sz w:val="19"/>
                <w:szCs w:val="19"/>
              </w:rPr>
              <w:t xml:space="preserve">Cobertura pendiente de re-establecer tras la migración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La migración NestJS → Express eliminó la suite anterior. La suite unitaria actual es mínima (config, auth.service, position in-memory repo y position-field.map) más dos e2e (employee y additional-crud); la cobertura global está por debajo del gate SonarQube ≥80%. Antes de dar la V2 por cerrada debe re-escribirse la batería unit + e2e para los seis recursos siguiendo el patrón de employee.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F2B"/>
          <w:sz w:val="20"/>
          <w:szCs w:val="20"/>
        </w:rPr>
        <w:t xml:space="preserve">Verificación funcional disponible hoy: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repos en memoria (FAKE_DB=true) para ejercitar el contrato HTTP completo sin Oracle, y las colecciones Postman + cURLs (docs/testing).</w:t>
      </w:r>
    </w:p>
    <w:p>
      <w:pPr>
        <w:pStyle w:val="Heading1"/>
        <w:pBdr>
          <w:bottom w:val="single" w:color="BFC9D4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12. Stack y librerías</w:t>
      </w:r>
    </w:p>
    <w:tbl>
      <w:tblPr>
        <w:tblW w:type="dxa" w:w="9360"/>
        <w:tblBorders>
          <w:top w:val="single" w:color="BFC9D4" w:sz="4"/>
          <w:left w:val="single" w:color="BFC9D4" w:sz="4"/>
          <w:bottom w:val="single" w:color="BFC9D4" w:sz="4"/>
          <w:right w:val="single" w:color="BFC9D4" w:sz="4"/>
          <w:insideH w:val="single" w:color="BFC9D4" w:sz="4"/>
          <w:insideV w:val="single" w:color="BFC9D4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Propósito</w:t>
            </w:r>
          </w:p>
        </w:tc>
        <w:tc>
          <w:tcPr>
            <w:tcW w:type="dxa" w:w="5960"/>
            <w:shd w:fill="F6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858"/>
                <w:sz w:val="18"/>
                <w:szCs w:val="18"/>
              </w:rPr>
              <w:t xml:space="preserve">Librería / Tecnología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Runtime / framework</w:t>
            </w:r>
          </w:p>
        </w:tc>
        <w:tc>
          <w:tcPr>
            <w:tcW w:type="dxa" w:w="5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Node 22 · Express · TypeScript</w:t>
            </w:r>
          </w:p>
        </w:tc>
      </w:tr>
      <w:tr>
        <w:tc>
          <w:tcPr>
            <w:tcW w:type="dxa" w:w="34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Oracle</w:t>
            </w:r>
          </w:p>
        </w:tc>
        <w:tc>
          <w:tcPr>
            <w:tcW w:type="dxa" w:w="59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oracledb (thin mode)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Autenticación JWT</w:t>
            </w:r>
          </w:p>
        </w:tc>
        <w:tc>
          <w:tcPr>
            <w:tcW w:type="dxa" w:w="5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jsonwebtoken (RS256)</w:t>
            </w:r>
          </w:p>
        </w:tc>
      </w:tr>
      <w:tr>
        <w:tc>
          <w:tcPr>
            <w:tcW w:type="dxa" w:w="34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Cifrado de payload</w:t>
            </w:r>
          </w:p>
        </w:tc>
        <w:tc>
          <w:tcPr>
            <w:tcW w:type="dxa" w:w="59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crypto-js (CryptoJS.AES)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5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express-rate-limit</w:t>
            </w:r>
          </w:p>
        </w:tc>
      </w:tr>
      <w:tr>
        <w:tc>
          <w:tcPr>
            <w:tcW w:type="dxa" w:w="34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Cabeceras / CORS</w:t>
            </w:r>
          </w:p>
        </w:tc>
        <w:tc>
          <w:tcPr>
            <w:tcW w:type="dxa" w:w="59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helmet · cors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Validación</w:t>
            </w:r>
          </w:p>
        </w:tc>
        <w:tc>
          <w:tcPr>
            <w:tcW w:type="dxa" w:w="5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class-validator · class-transformer</w:t>
            </w:r>
          </w:p>
        </w:tc>
      </w:tr>
      <w:tr>
        <w:tc>
          <w:tcPr>
            <w:tcW w:type="dxa" w:w="34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Logging</w:t>
            </w:r>
          </w:p>
        </w:tc>
        <w:tc>
          <w:tcPr>
            <w:tcW w:type="dxa" w:w="59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winston · @google-cloud/logging-winston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Configuración</w:t>
            </w:r>
          </w:p>
        </w:tc>
        <w:tc>
          <w:tcPr>
            <w:tcW w:type="dxa" w:w="5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dotenv + process.env</w:t>
            </w:r>
          </w:p>
        </w:tc>
      </w:tr>
      <w:tr>
        <w:tc>
          <w:tcPr>
            <w:tcW w:type="dxa" w:w="340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Pruebas</w:t>
            </w:r>
          </w:p>
        </w:tc>
        <w:tc>
          <w:tcPr>
            <w:tcW w:type="dxa" w:w="5960"/>
            <w:shd w:fill="FAFBF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jest · supertest (cobertura lcov → SonarQube ≥80%)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Despliegue / CI-CD</w:t>
            </w:r>
          </w:p>
        </w:tc>
        <w:tc>
          <w:tcPr>
            <w:tcW w:type="dxa" w:w="5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B"/>
                <w:sz w:val="18"/>
                <w:szCs w:val="18"/>
              </w:rPr>
              <w:t xml:space="preserve">App Engine Standard nodejs22 · app.yaml · sync-env-to-yaml.js · Serverless VPC Access · Secret Manager</w:t>
            </w:r>
          </w:p>
        </w:tc>
      </w:tr>
    </w:tbl>
    <w:p>
      <w:pPr>
        <w:pStyle w:val="Heading1"/>
        <w:pBdr>
          <w:bottom w:val="single" w:color="BFC9D4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13. Despliegue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App Engine Standard (nodejs22), entry node dist/index.js. Flujo: cp app.template.yaml app.yaml (o npm run sync-env desde .env.production) → npm run build-gcp → gcloud app deploy. VPC connector hacia Oracle en app.yaml. Los cambios solo-config (credenciales, clients, PKG, timeouts, CORS, país nuevo) no requieren cambios de código. Detalle en docs/deploy/gcp-setup.md y PPAP en docs/deploy/PPAP-ftd-spi-employee.md. Cloud Run / Docker quedan como referencia histórica.</w:t>
      </w:r>
    </w:p>
    <w:p>
      <w:pPr>
        <w:pStyle w:val="Heading1"/>
        <w:pBdr>
          <w:bottom w:val="single" w:color="BFC9D4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14. Conclusión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2B"/>
          <w:sz w:val="20"/>
          <w:szCs w:val="20"/>
        </w:rPr>
        <w:t xml:space="preserve">La V2 mantiene el servicio multi-tenant que expone la gestión de datos maestros de RRHH del SPI cumpliendo las premisas de diseño (nube nativa GCP, JWT RS256 TTL 12 h, aislamiento por país, REST estricto y operación PKG-first sobre INFOCENT.*), ahora sobre el arquetipo Express de Farmatodo y desplegado en App Engine, con seis recursos y el estándar de seguridad de Farmatodo (P2C con crypto-js, rate limiting, HSTS, CORS, autorización por país). La lógica de negocio permanece en los paquetes Oracle; el servicio aporta el contrato REST en inglés, la seguridad, el cifrado y el enrutamiento multi-tenant. Evolución recomendada: re-establecer la cobertura de pruebas de los seis recursos, habilitar AR por configuración cuando exista su BD espejo, y evaluar carga por lotes asíncrona si el volumen lo demanda.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472"/>
        <w:sz w:val="16"/>
        <w:szCs w:val="16"/>
      </w:rPr>
      <w:t xml:space="preserve">SDD v2.0 · 2026-07-16  ·  Página </w:t>
    </w:r>
    <w:r>
      <w:rPr>
        <w:rFonts w:ascii="Arial" w:cs="Arial" w:eastAsia="Arial" w:hAnsi="Arial"/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4" w:sz="4" w:space="2"/>
      </w:pBdr>
      <w:spacing w:after="60"/>
      <w:jc w:val="right"/>
    </w:pPr>
    <w:r>
      <w:rPr>
        <w:rFonts w:ascii="Arial" w:cs="Arial" w:eastAsia="Arial" w:hAnsi="Arial"/>
        <w:color w:val="5B6472"/>
        <w:sz w:val="16"/>
        <w:szCs w:val="16"/>
      </w:rPr>
      <w:t xml:space="preserve">ftd-spi-employee · SDD v2.0 · Farmatodo Digital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F2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SDD ftd-spi-employee v2.0</dc:title>
  <dc:creator>Un-named</dc:creator>
  <cp:lastModifiedBy>Un-named</cp:lastModifiedBy>
  <cp:revision>1</cp:revision>
  <dcterms:created xsi:type="dcterms:W3CDTF">2026-07-16T20:59:44.016Z</dcterms:created>
  <dcterms:modified xsi:type="dcterms:W3CDTF">2026-07-16T20:59:44.016Z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