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002858"/>
          <w:sz w:val="20"/>
          <w:szCs w:val="20"/>
        </w:rPr>
        <w:t xml:space="preserve">REVISIÓN DE SEGURIDAD · FARMATODO DIGITAL</w:t>
      </w:r>
    </w:p>
    <w:p>
      <w:pPr>
        <w:pBdr>
          <w:bottom w:val="single" w:color="002858" w:sz="12" w:space="6"/>
        </w:pBdr>
        <w:spacing w:after="40"/>
      </w:pPr>
      <w:r>
        <w:rPr>
          <w:rFonts w:ascii="Arial" w:cs="Arial" w:eastAsia="Arial" w:hAnsi="Arial"/>
          <w:b/>
          <w:bCs/>
          <w:color w:val="1A1F2B"/>
          <w:sz w:val="40"/>
          <w:szCs w:val="40"/>
        </w:rPr>
        <w:t xml:space="preserve">FTD SPI Employee API — Datos maestros de RRHH multi-tenant</w:t>
      </w:r>
    </w:p>
    <w:p>
      <w:pPr>
        <w:spacing w:after="200" w:before="0" w:line="276"/>
      </w:pPr>
      <w:r>
        <w:rPr>
          <w:rFonts w:ascii="Arial" w:cs="Arial" w:eastAsia="Arial" w:hAnsi="Arial"/>
          <w:b/>
          <w:bCs/>
          <w:i w:val="false"/>
          <w:iCs w:val="false"/>
          <w:color w:val="002858"/>
          <w:sz w:val="22"/>
          <w:szCs w:val="22"/>
        </w:rPr>
        <w:t xml:space="preserve">Versión 2.0     ·     Re-revisión tras migración a Express + App Engine</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2600"/>
        <w:gridCol w:w="6760"/>
      </w:tblGrid>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Servicio</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ftd-spi-employee (Express + TypeScript · Node 22 · GCP App Engine)</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Alcance</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Código del servicio: autenticación, autorización, tenancy, cifrado de payload, manejo de errores, configuración; seis recursos (employee, position, company, marital-status, job-post, org-unit)</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Metodología</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Revisión manual de código con lente OWASP API Security Top 10 (2023) + verificación en runtime</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Fecha</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16 de julio de 2026</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Reemplaza a</w:t>
            </w:r>
          </w:p>
        </w:tc>
        <w:tc>
          <w:tcPr>
            <w:tcW w:type="dxa" w:w="67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v1.0 (2026-07-03) — runtime NestJS 10 / Cloud Run</w:t>
            </w:r>
          </w:p>
        </w:tc>
      </w:tr>
      <w:tr>
        <w:tc>
          <w:tcPr>
            <w:tcW w:type="dxa" w:w="26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Resultado</w:t>
            </w:r>
          </w:p>
        </w:tc>
        <w:tc>
          <w:tcPr>
            <w:tcW w:type="dxa" w:w="67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Los 8 hallazgos de la v1.0 siguen mitigados tras la migración (guards/interceptors → middlewares equivalentes). Sin riesgos residuales de seguridad abiertos. Punto de atención de calidad: cobertura de pruebas por re-establecer (§7).</w:t>
            </w:r>
          </w:p>
        </w:tc>
      </w:tr>
    </w:tbl>
    <w:p>
      <w:r>
        <w:br w:type="page"/>
      </w:r>
    </w:p>
    <w:p>
      <w:pPr>
        <w:spacing w:after="80" w:before="0" w:line="276"/>
      </w:pPr>
      <w:r>
        <w:rPr>
          <w:rFonts w:ascii="Arial" w:cs="Arial" w:eastAsia="Arial" w:hAnsi="Arial"/>
          <w:b/>
          <w:bCs/>
          <w:i w:val="false"/>
          <w:iCs w:val="false"/>
          <w:color w:val="002858"/>
          <w:sz w:val="24"/>
          <w:szCs w:val="24"/>
        </w:rPr>
        <w:t xml:space="preserve">Tabla de 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BFC9D4" w:sz="6" w:space="4"/>
        </w:pBdr>
        <w:spacing w:after="120" w:before="260"/>
      </w:pPr>
      <w:r>
        <w:rPr>
          <w:rFonts w:ascii="Arial" w:cs="Arial" w:eastAsia="Arial" w:hAnsi="Arial"/>
          <w:b/>
          <w:bCs/>
          <w:color w:val="002858"/>
          <w:sz w:val="30"/>
          <w:szCs w:val="30"/>
        </w:rPr>
        <w:t xml:space="preserve">1. Resumen ejecutivo</w:t>
      </w:r>
    </w:p>
    <w:p>
      <w:pPr>
        <w:spacing w:after="120" w:before="0" w:line="276"/>
      </w:pPr>
      <w:r>
        <w:rPr>
          <w:rFonts w:ascii="Arial" w:cs="Arial" w:eastAsia="Arial" w:hAnsi="Arial"/>
          <w:b w:val="false"/>
          <w:bCs w:val="false"/>
          <w:i w:val="false"/>
          <w:iCs w:val="false"/>
          <w:color w:val="1A1F2B"/>
          <w:sz w:val="20"/>
          <w:szCs w:val="20"/>
        </w:rPr>
        <w:t xml:space="preserve">Se re-revisó el servicio FTD SPI Employee API tras su migración de NestJS/Cloud Run a Express/App Engine, con foco en la confidencialidad de datos personales (PII), autenticación, autorización y superficie de exposición. La migración preservó todos los controles de seguridad: los guards e interceptors de NestJS se reimplementaron como middlewares Express con comportamiento equivalente, y los cinco recursos nuevos (position, company, marital-status, job-post, org-unit) heredan automáticamente autenticación JWT, validación de país (X-Country-Code) y cifrado P2C al montarse tras auth.middleware + country.middleware.</w:t>
      </w:r>
    </w:p>
    <w:p>
      <w:pPr>
        <w:spacing w:after="120" w:before="0" w:line="276"/>
      </w:pPr>
      <w:r>
        <w:rPr>
          <w:rFonts w:ascii="Arial" w:cs="Arial" w:eastAsia="Arial" w:hAnsi="Arial"/>
          <w:b w:val="false"/>
          <w:bCs w:val="false"/>
          <w:i w:val="false"/>
          <w:iCs w:val="false"/>
          <w:color w:val="1A1F2B"/>
          <w:sz w:val="20"/>
          <w:szCs w:val="20"/>
        </w:rPr>
        <w:t xml:space="preserve">Los 8 hallazgos de la revisión v1.0 permanecen corregidos y verificados; no hay riesgos residuales de seguridad abiertos. El servicio cumple los controles esperados para el manejo de PII de empleados: cifrado en tránsito (TLS + HSTS), cifrado de payload de aplicación (P2C), autenticación JWT RS256, autorización por país, rate limiting y minimización de superficie (Swagger retirado por completo en la migración).</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Punto de atención de calidad (no de seguridad)</w:t>
            </w:r>
          </w:p>
          <w:p>
            <w:pPr>
              <w:spacing w:after="0" w:before="0" w:line="276"/>
            </w:pPr>
            <w:r>
              <w:rPr>
                <w:rFonts w:ascii="Arial" w:cs="Arial" w:eastAsia="Arial" w:hAnsi="Arial"/>
                <w:b w:val="false"/>
                <w:bCs w:val="false"/>
                <w:i w:val="false"/>
                <w:iCs w:val="false"/>
                <w:color w:val="1A1F2B"/>
                <w:sz w:val="18"/>
                <w:szCs w:val="18"/>
              </w:rPr>
              <w:t xml:space="preserve">La migración eliminó la suite de pruebas NestJS anterior. La cobertura automatizada actual está por debajo del gate SonarQube ≥80% y debe re-establecerse (ver §7). No es un hallazgo de seguridad, pero reduce la capacidad de detectar regresiones en los controles.</w:t>
            </w:r>
          </w:p>
        </w:tc>
      </w:tr>
    </w:tbl>
    <w:p>
      <w:pPr>
        <w:pStyle w:val="Heading1"/>
        <w:pBdr>
          <w:bottom w:val="single" w:color="BFC9D4" w:sz="6" w:space="4"/>
        </w:pBdr>
        <w:spacing w:after="120" w:before="260"/>
      </w:pPr>
      <w:r>
        <w:rPr>
          <w:rFonts w:ascii="Arial" w:cs="Arial" w:eastAsia="Arial" w:hAnsi="Arial"/>
          <w:b/>
          <w:bCs/>
          <w:color w:val="002858"/>
          <w:sz w:val="30"/>
          <w:szCs w:val="30"/>
        </w:rPr>
        <w:t xml:space="preserve">2. Aclaración sobre la visibilidad de la cédula / PII</w:t>
      </w:r>
    </w:p>
    <w:p>
      <w:pPr>
        <w:spacing w:after="120" w:before="0" w:line="276"/>
      </w:pPr>
      <w:r>
        <w:rPr>
          <w:rFonts w:ascii="Arial" w:cs="Arial" w:eastAsia="Arial" w:hAnsi="Arial"/>
          <w:b w:val="false"/>
          <w:bCs w:val="false"/>
          <w:i w:val="false"/>
          <w:iCs w:val="false"/>
          <w:color w:val="1A1F2B"/>
          <w:sz w:val="20"/>
          <w:szCs w:val="20"/>
        </w:rPr>
        <w:t xml:space="preserve">Observación planteada: "veo la cédula y el body del request sin cifrar en Postman". Análisis:</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Lo que se ve en Postman es el body en la máquina del propio cliente, antes de enviarlo o después de recibirlo. Ningún API puede ocultar a su propio cliente lo que este mismo construye/recibe; no es una falla de cifrado.</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La confidencialidad de la cédula se garantiza en tres capas: (1) en tránsito por TLS/HTTPS — App Engine termina TLS y se fuerza con HSTS; (2) en reposo por el cifrado de la BD Oracle (TDE, responsabilidad del DBA); (3) en logs — el servicio no registra el body ni PII.</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Requisito P2C adicional: cifrado del payload a nivel de aplicación (CryptoJS.AES) para que el body viaje cifrado además del TLS. Ver sección 5.</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La cédula NUNCA viaja en la URL: todas las operaciones usan POST con el identificador en el body cifrable — evita que quede en access logs, proxies o historiales.</w:t>
      </w:r>
    </w:p>
    <w:p>
      <w:pPr>
        <w:pStyle w:val="Heading1"/>
        <w:pBdr>
          <w:bottom w:val="single" w:color="BFC9D4" w:sz="6" w:space="4"/>
        </w:pBdr>
        <w:spacing w:after="120" w:before="260"/>
      </w:pPr>
      <w:r>
        <w:rPr>
          <w:rFonts w:ascii="Arial" w:cs="Arial" w:eastAsia="Arial" w:hAnsi="Arial"/>
          <w:b/>
          <w:bCs/>
          <w:color w:val="002858"/>
          <w:sz w:val="30"/>
          <w:szCs w:val="30"/>
        </w:rPr>
        <w:t xml:space="preserve">3. Hallazgos y estado</w:t>
      </w:r>
    </w:p>
    <w:p>
      <w:pPr>
        <w:spacing w:after="120" w:before="0" w:line="276"/>
      </w:pPr>
      <w:r>
        <w:rPr>
          <w:rFonts w:ascii="Arial" w:cs="Arial" w:eastAsia="Arial" w:hAnsi="Arial"/>
          <w:b w:val="false"/>
          <w:bCs w:val="false"/>
          <w:i w:val="false"/>
          <w:iCs w:val="false"/>
          <w:color w:val="1A1F2B"/>
          <w:sz w:val="20"/>
          <w:szCs w:val="20"/>
        </w:rPr>
        <w:t xml:space="preserve">Todos los hallazgos provienen de la revisión v1.0 y siguen mitigados en la implementación Express (verificado esta sesión). </w:t>
      </w:r>
      <w:r>
        <w:rPr>
          <w:rFonts w:ascii="Arial" w:cs="Arial" w:eastAsia="Arial" w:hAnsi="Arial"/>
          <w:b/>
          <w:bCs/>
          <w:i w:val="false"/>
          <w:iCs w:val="false"/>
          <w:color w:val="1B7F4B"/>
          <w:sz w:val="16"/>
          <w:szCs w:val="16"/>
        </w:rPr>
        <w:t xml:space="preserve"> [VERIFICADO EN CÓDIGO] </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500"/>
        <w:gridCol w:w="1200"/>
        <w:gridCol w:w="4560"/>
        <w:gridCol w:w="3100"/>
      </w:tblGrid>
      <w:tr>
        <w:trPr>
          <w:tblHeader/>
        </w:trPr>
        <w:tc>
          <w:tcPr>
            <w:tcW w:type="dxa" w:w="5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w:t>
            </w:r>
          </w:p>
        </w:tc>
        <w:tc>
          <w:tcPr>
            <w:tcW w:type="dxa" w:w="12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Severidad</w:t>
            </w:r>
          </w:p>
        </w:tc>
        <w:tc>
          <w:tcPr>
            <w:tcW w:type="dxa" w:w="456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Hallazgo</w:t>
            </w:r>
          </w:p>
        </w:tc>
        <w:tc>
          <w:tcPr>
            <w:tcW w:type="dxa" w:w="31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Estado (v2.0)</w:t>
            </w:r>
          </w:p>
        </w:tc>
      </w:tr>
      <w:tr>
        <w:tc>
          <w:tcPr>
            <w:tcW w:type="dxa" w:w="5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1</w:t>
            </w:r>
          </w:p>
        </w:tc>
        <w:tc>
          <w:tcPr>
            <w:tcW w:type="dxa" w:w="1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Alta</w:t>
            </w:r>
          </w:p>
        </w:tc>
        <w:tc>
          <w:tcPr>
            <w:tcW w:type="dxa" w:w="45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El claim countries del JWT no se validaba: cualquier token válido accedía a cualquier país habilitado.</w:t>
            </w:r>
          </w:p>
        </w:tc>
        <w:tc>
          <w:tcPr>
            <w:tcW w:type="dxa" w:w="3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country.middleware valida countries vs X-Country-Code → 403</w:t>
            </w:r>
          </w:p>
        </w:tc>
      </w:tr>
      <w:tr>
        <w:tc>
          <w:tcPr>
            <w:tcW w:type="dxa" w:w="5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2</w:t>
            </w:r>
          </w:p>
        </w:tc>
        <w:tc>
          <w:tcPr>
            <w:tcW w:type="dxa" w:w="1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Alta</w:t>
            </w:r>
          </w:p>
        </w:tc>
        <w:tc>
          <w:tcPr>
            <w:tcW w:type="dxa" w:w="45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Sin rate limiting: /security/token fuerza-bruteable y CRUD sin tope de consumo (OWASP API4).</w:t>
            </w:r>
          </w:p>
        </w:tc>
        <w:tc>
          <w:tcPr>
            <w:tcW w:type="dxa" w:w="3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express-rate-limit (60/min global, 10/min en /security/token → 429)</w:t>
            </w:r>
          </w:p>
        </w:tc>
      </w:tr>
      <w:tr>
        <w:tc>
          <w:tcPr>
            <w:tcW w:type="dxa" w:w="5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3</w:t>
            </w:r>
          </w:p>
        </w:tc>
        <w:tc>
          <w:tcPr>
            <w:tcW w:type="dxa" w:w="1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Media</w:t>
            </w:r>
          </w:p>
        </w:tc>
        <w:tc>
          <w:tcPr>
            <w:tcW w:type="dxa" w:w="45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Sin cabeceras de seguridad; sin HSTS para forzar HTTPS.</w:t>
            </w:r>
          </w:p>
        </w:tc>
        <w:tc>
          <w:tcPr>
            <w:tcW w:type="dxa" w:w="3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helmet + HSTS</w:t>
            </w:r>
          </w:p>
        </w:tc>
      </w:tr>
      <w:tr>
        <w:tc>
          <w:tcPr>
            <w:tcW w:type="dxa" w:w="5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4</w:t>
            </w:r>
          </w:p>
        </w:tc>
        <w:tc>
          <w:tcPr>
            <w:tcW w:type="dxa" w:w="1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Media</w:t>
            </w:r>
          </w:p>
        </w:tc>
        <w:tc>
          <w:tcPr>
            <w:tcW w:type="dxa" w:w="45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Swagger /docs público: exponía el contrato completo sin autenticación.</w:t>
            </w:r>
          </w:p>
        </w:tc>
        <w:tc>
          <w:tcPr>
            <w:tcW w:type="dxa" w:w="3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Swagger retirado por completo en la migración (sin superficie de docs)</w:t>
            </w:r>
          </w:p>
        </w:tc>
      </w:tr>
      <w:tr>
        <w:tc>
          <w:tcPr>
            <w:tcW w:type="dxa" w:w="5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5</w:t>
            </w:r>
          </w:p>
        </w:tc>
        <w:tc>
          <w:tcPr>
            <w:tcW w:type="dxa" w:w="1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Media</w:t>
            </w:r>
          </w:p>
        </w:tc>
        <w:tc>
          <w:tcPr>
            <w:tcW w:type="dxa" w:w="45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La validación de país corría antes de la autenticación → un no-autenticado podía enumerar países habilitados (422 vs 401).</w:t>
            </w:r>
          </w:p>
        </w:tc>
        <w:tc>
          <w:tcPr>
            <w:tcW w:type="dxa" w:w="3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country.middleware se monta DESPUÉS de auth.middleware en cada ruta; 401 antes de cualquier chequeo de país</w:t>
            </w:r>
          </w:p>
        </w:tc>
      </w:tr>
      <w:tr>
        <w:tc>
          <w:tcPr>
            <w:tcW w:type="dxa" w:w="5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8</w:t>
            </w:r>
          </w:p>
        </w:tc>
        <w:tc>
          <w:tcPr>
            <w:tcW w:type="dxa" w:w="1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Media</w:t>
            </w:r>
          </w:p>
        </w:tc>
        <w:tc>
          <w:tcPr>
            <w:tcW w:type="dxa" w:w="45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La cédula viajaba en la URL en lecturas/escrituras (GET/PUT/DELETE /employees/:id) → quedaba en access logs y proxies.</w:t>
            </w:r>
          </w:p>
        </w:tc>
        <w:tc>
          <w:tcPr>
            <w:tcW w:type="dxa" w:w="3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todas las operaciones por POST con la cédula en el body (Farmatodo P2C)</w:t>
            </w:r>
          </w:p>
        </w:tc>
      </w:tr>
      <w:tr>
        <w:tc>
          <w:tcPr>
            <w:tcW w:type="dxa" w:w="5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6</w:t>
            </w:r>
          </w:p>
        </w:tc>
        <w:tc>
          <w:tcPr>
            <w:tcW w:type="dxa" w:w="12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Baja</w:t>
            </w:r>
          </w:p>
        </w:tc>
        <w:tc>
          <w:tcPr>
            <w:tcW w:type="dxa" w:w="45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Comparación de client_secret no era de tiempo constante (timing).</w:t>
            </w:r>
          </w:p>
        </w:tc>
        <w:tc>
          <w:tcPr>
            <w:tcW w:type="dxa" w:w="31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crypto.timingSafeEqual sobre hash SHA-256</w:t>
            </w:r>
          </w:p>
        </w:tc>
      </w:tr>
      <w:tr>
        <w:tc>
          <w:tcPr>
            <w:tcW w:type="dxa" w:w="5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7</w:t>
            </w:r>
          </w:p>
        </w:tc>
        <w:tc>
          <w:tcPr>
            <w:tcW w:type="dxa" w:w="12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Baja</w:t>
            </w:r>
          </w:p>
        </w:tc>
        <w:tc>
          <w:tcPr>
            <w:tcW w:type="dxa" w:w="45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El manejo de errores reemplazaba mensajes específicos (404/403/422 con O_MESSAGE del PKG) por una etiqueta genérica.</w:t>
            </w:r>
          </w:p>
        </w:tc>
        <w:tc>
          <w:tcPr>
            <w:tcW w:type="dxa" w:w="31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1B7F4B"/>
                <w:sz w:val="17"/>
                <w:szCs w:val="17"/>
              </w:rPr>
              <w:t xml:space="preserve">Corregido — errorHandler.middleware preserva el mensaje específico (HttpError); solo 500 se enmascara</w:t>
            </w:r>
          </w:p>
        </w:tc>
      </w:tr>
    </w:tbl>
    <w:p>
      <w:pPr>
        <w:pStyle w:val="Heading1"/>
        <w:pBdr>
          <w:bottom w:val="single" w:color="BFC9D4" w:sz="6" w:space="4"/>
        </w:pBdr>
        <w:spacing w:after="120" w:before="260"/>
      </w:pPr>
      <w:r>
        <w:rPr>
          <w:rFonts w:ascii="Arial" w:cs="Arial" w:eastAsia="Arial" w:hAnsi="Arial"/>
          <w:b/>
          <w:bCs/>
          <w:color w:val="002858"/>
          <w:sz w:val="30"/>
          <w:szCs w:val="30"/>
        </w:rPr>
        <w:t xml:space="preserve">4. Controles de seguridad implementados</w:t>
      </w:r>
    </w:p>
    <w:p>
      <w:pPr>
        <w:spacing w:after="120" w:before="0" w:line="276"/>
      </w:pPr>
      <w:r>
        <w:rPr>
          <w:rFonts w:ascii="Arial" w:cs="Arial" w:eastAsia="Arial" w:hAnsi="Arial"/>
          <w:b w:val="false"/>
          <w:bCs w:val="false"/>
          <w:i w:val="false"/>
          <w:iCs w:val="false"/>
          <w:color w:val="1A1F2B"/>
          <w:sz w:val="20"/>
          <w:szCs w:val="20"/>
        </w:rPr>
        <w:t xml:space="preserve">Implementación real Express (verificada en src/interfaces/middlewares y src/index.ts):</w:t>
      </w:r>
    </w:p>
    <w:tbl>
      <w:tblPr>
        <w:tblW w:type="dxa" w:w="9360"/>
        <w:tblBorders>
          <w:top w:val="single" w:color="BFC9D4" w:sz="4"/>
          <w:left w:val="single" w:color="BFC9D4" w:sz="4"/>
          <w:bottom w:val="single" w:color="BFC9D4" w:sz="4"/>
          <w:right w:val="single" w:color="BFC9D4" w:sz="4"/>
          <w:insideH w:val="single" w:color="BFC9D4" w:sz="4"/>
          <w:insideV w:val="single" w:color="BFC9D4" w:sz="4"/>
        </w:tblBorders>
      </w:tblPr>
      <w:tblGrid>
        <w:gridCol w:w="3000"/>
        <w:gridCol w:w="6360"/>
      </w:tblGrid>
      <w:tr>
        <w:trPr>
          <w:tblHeader/>
        </w:trPr>
        <w:tc>
          <w:tcPr>
            <w:tcW w:type="dxa" w:w="300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Control</w:t>
            </w:r>
          </w:p>
        </w:tc>
        <w:tc>
          <w:tcPr>
            <w:tcW w:type="dxa" w:w="6360"/>
            <w:shd w:fill="F6F8FB" w:color="auto" w:val="clear"/>
            <w:tcMar>
              <w:top w:type="dxa" w:w="60"/>
              <w:left w:type="dxa" w:w="110"/>
              <w:bottom w:type="dxa" w:w="60"/>
              <w:right w:type="dxa" w:w="110"/>
            </w:tcMar>
            <w:vAlign w:val="center"/>
          </w:tcPr>
          <w:p>
            <w:pPr>
              <w:spacing w:after="0" w:before="0" w:line="276"/>
            </w:pPr>
            <w:r>
              <w:rPr>
                <w:rFonts w:ascii="Arial" w:cs="Arial" w:eastAsia="Arial" w:hAnsi="Arial"/>
                <w:b/>
                <w:bCs/>
                <w:i w:val="false"/>
                <w:iCs w:val="false"/>
                <w:color w:val="002858"/>
                <w:sz w:val="18"/>
                <w:szCs w:val="18"/>
              </w:rPr>
              <w:t xml:space="preserve">Implementación</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Autenticación</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JWT RS256 (jsonwebtoken), algoritmo fijado (rechaza alg:none/HS256), issuer validado, TTL 12 h; llaves en Secret Manager → auth.middleware</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Autorización por país</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country.middleware (post-auth) valida claim countries vs X-Country-Code → 403</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Cédula fuera de la URL</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Todas las operaciones por POST con el identificador en el body (no en la URL → no en logs)</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Orden de la cadena</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rate-limit → parsers → P2C → auth → país; el no-autenticado recibe 401 antes de cualquier chequeo de país</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Cifrado en tránsito</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TLS terminado en App Engine + HSTS (helmet: maxAge 1 año, includeSubDomains, preload)</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Cifrado de payload (P2C)</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CryptoJS.AES (crypto-js): RequestJson / ResponseJson con passphrase compartida (payload-crypto.middleware)</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Rate limiting</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express-rate-limit: 60 req/min global en /ftd-spi-employee/rest, 10 req/min en /security/token</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CORS</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Allowlist por CORS_ORIGINS, credentials true, métodos y headers explícitos</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Cabeceras</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helmet (HSTS, X-Content-Type-Options, X-Frame-Options, etc.)</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Credenciales de cliente</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Hash SHA-256 + comparación en tiempo constante (timingSafeEqual)</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Validación / mass-assignment</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class-validator con whitelist + forbidNonWhitelisted (DTOs por operación)</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Límite de payload / timeout</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BODY_PARSER_LIMIT (1mb) + REQUEST_TIMEOUT_MS (30 s)</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SQL injection</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El PKG parametriza con JSON_TABLE; el API nunca concatena SQL</w:t>
            </w:r>
          </w:p>
        </w:tc>
      </w:tr>
      <w:tr>
        <w:tc>
          <w:tcPr>
            <w:tcW w:type="dxa" w:w="300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Fuga en errores</w:t>
            </w:r>
          </w:p>
        </w:tc>
        <w:tc>
          <w:tcPr>
            <w:tcW w:type="dxa" w:w="6360"/>
            <w:shd w:fill="FAFBFD"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500 genérico sin filtrar detalle interno de Oracle (ORA-xxxx solo en logs)</w:t>
            </w:r>
          </w:p>
        </w:tc>
      </w:tr>
      <w:tr>
        <w:tc>
          <w:tcPr>
            <w:tcW w:type="dxa" w:w="300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Superficie</w:t>
            </w:r>
          </w:p>
        </w:tc>
        <w:tc>
          <w:tcPr>
            <w:tcW w:type="dxa" w:w="6360"/>
            <w:shd w:fill="FFFFFF" w:color="auto" w:val="clear"/>
            <w:tcMar>
              <w:top w:type="dxa" w:w="60"/>
              <w:left w:type="dxa" w:w="110"/>
              <w:bottom w:type="dxa" w:w="60"/>
              <w:right w:type="dxa" w:w="110"/>
            </w:tcMar>
            <w:vAlign w:val="center"/>
          </w:tcPr>
          <w:p>
            <w:pPr>
              <w:spacing w:after="0" w:before="0" w:line="276"/>
            </w:pPr>
            <w:r>
              <w:rPr>
                <w:rFonts w:ascii="Arial" w:cs="Arial" w:eastAsia="Arial" w:hAnsi="Arial"/>
                <w:b w:val="false"/>
                <w:bCs w:val="false"/>
                <w:i w:val="false"/>
                <w:iCs w:val="false"/>
                <w:color w:val="1A1F2B"/>
                <w:sz w:val="18"/>
                <w:szCs w:val="18"/>
              </w:rPr>
              <w:t xml:space="preserve">Swagger retirado; / responde solo un texto de salud</w:t>
            </w:r>
          </w:p>
        </w:tc>
      </w:tr>
    </w:tbl>
    <w:p>
      <w:pPr>
        <w:pStyle w:val="Heading1"/>
        <w:pBdr>
          <w:bottom w:val="single" w:color="BFC9D4" w:sz="6" w:space="4"/>
        </w:pBdr>
        <w:spacing w:after="120" w:before="260"/>
      </w:pPr>
      <w:r>
        <w:rPr>
          <w:rFonts w:ascii="Arial" w:cs="Arial" w:eastAsia="Arial" w:hAnsi="Arial"/>
          <w:b/>
          <w:bCs/>
          <w:color w:val="002858"/>
          <w:sz w:val="30"/>
          <w:szCs w:val="30"/>
        </w:rPr>
        <w:t xml:space="preserve">5. Cifrado de payload (P2C) — crypto-js</w:t>
      </w:r>
    </w:p>
    <w:p>
      <w:pPr>
        <w:spacing w:after="120" w:before="0" w:line="276"/>
      </w:pPr>
      <w:r>
        <w:rPr>
          <w:rFonts w:ascii="Arial" w:cs="Arial" w:eastAsia="Arial" w:hAnsi="Arial"/>
          <w:b w:val="false"/>
          <w:bCs w:val="false"/>
          <w:i w:val="false"/>
          <w:iCs w:val="false"/>
          <w:color w:val="1A1F2B"/>
          <w:sz w:val="20"/>
          <w:szCs w:val="20"/>
        </w:rPr>
        <w:t xml:space="preserve">Estándar de cifrado front↔back de Farmatodo con la librería crypto-js (la misma del portal), esquema CryptoJS.AES (formato OpenSSL "Salted__", AES-CBC con KDF por passphrase).</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Request: el front envía RequestJson = CryptoJS.AES.encrypt(JSON.stringify(data), KEY). El payload-crypto.middleware lo descifra ANTES de la validación; los DTOs operan sobre el JSON en claro.</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Response: cuando el request llegó cifrado, la respuesta se devuelve como ResponseJson cifrado con la misma passphrase.</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Llave: passphrase compartida en PAYLOAD_ENCRYPTION_KEY (Secret Manager). Vacía = deshabilitado. Payload cifrado inválido → 400.</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Compatibilidad verificada: crypto-js en el backend descifra exactamente lo que produce CryptoJS en el front (mismo prefijo Salted__).</w:t>
      </w:r>
    </w:p>
    <w:tbl>
      <w:tblPr>
        <w:tblW w:type="dxa" w:w="9360"/>
        <w:tblBorders>
          <w:top w:val="single" w:color="F6F8FB" w:sz="2"/>
          <w:left w:val="single" w:color="002858" w:sz="24"/>
          <w:bottom w:val="single" w:color="F6F8FB" w:sz="2"/>
          <w:right w:val="single" w:color="F6F8FB" w:sz="2"/>
          <w:insideH w:val="none"/>
          <w:insideV w:val="none"/>
        </w:tblBorders>
      </w:tblPr>
      <w:tblGrid>
        <w:gridCol w:w="9360"/>
      </w:tblGrid>
      <w:tr>
        <w:tc>
          <w:tcPr>
            <w:tcW w:type="dxa" w:w="9360"/>
            <w:shd w:fill="F6F8FB"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002858"/>
                <w:sz w:val="19"/>
                <w:szCs w:val="19"/>
              </w:rPr>
              <w:t xml:space="preserve">Nota de migración</w:t>
            </w:r>
          </w:p>
          <w:p>
            <w:pPr>
              <w:spacing w:after="0" w:before="0" w:line="276"/>
            </w:pPr>
            <w:r>
              <w:rPr>
                <w:rFonts w:ascii="Arial" w:cs="Arial" w:eastAsia="Arial" w:hAnsi="Arial"/>
                <w:b w:val="false"/>
                <w:bCs w:val="false"/>
                <w:i w:val="false"/>
                <w:iCs w:val="false"/>
                <w:color w:val="1A1F2B"/>
                <w:sz w:val="18"/>
                <w:szCs w:val="18"/>
              </w:rPr>
              <w:t xml:space="preserve">En NestJS este control era un PayloadCryptoInterceptor global. En Express es payload-crypto.middleware, montado antes de auth/validación en src/index.ts; el comportamiento (activar por presencia de RequestJson, cifrar ResponseJson) es idéntico.</w:t>
            </w:r>
          </w:p>
        </w:tc>
      </w:tr>
    </w:tbl>
    <w:p>
      <w:pPr>
        <w:pStyle w:val="Heading1"/>
        <w:pBdr>
          <w:bottom w:val="single" w:color="BFC9D4" w:sz="6" w:space="4"/>
        </w:pBdr>
        <w:spacing w:after="120" w:before="260"/>
      </w:pPr>
      <w:r>
        <w:rPr>
          <w:rFonts w:ascii="Arial" w:cs="Arial" w:eastAsia="Arial" w:hAnsi="Arial"/>
          <w:b/>
          <w:bCs/>
          <w:color w:val="002858"/>
          <w:sz w:val="30"/>
          <w:szCs w:val="30"/>
        </w:rPr>
        <w:t xml:space="preserve">6. Riesgos residuales</w:t>
      </w:r>
    </w:p>
    <w:p>
      <w:pPr>
        <w:spacing w:after="120" w:before="0" w:line="276"/>
      </w:pPr>
      <w:r>
        <w:rPr>
          <w:rFonts w:ascii="Arial" w:cs="Arial" w:eastAsia="Arial" w:hAnsi="Arial"/>
          <w:b w:val="false"/>
          <w:bCs w:val="false"/>
          <w:i w:val="false"/>
          <w:iCs w:val="false"/>
          <w:color w:val="1A1F2B"/>
          <w:sz w:val="20"/>
          <w:szCs w:val="20"/>
        </w:rPr>
        <w:t xml:space="preserve">No quedan riesgos residuales de seguridad abiertos de esta revisión. El hallazgo #5 (enumeración de países pre-autenticación) sigue corregido: en cada router de recurso el orden es router.use(authMiddleware, countryMiddleware), por lo que un llamante no autenticado recibe 401 antes de cualquier chequeo de país (verificado en runtime). Se mantienen como buenas prácticas continuas las recomendaciones de la sección 8.</w:t>
      </w:r>
    </w:p>
    <w:p>
      <w:pPr>
        <w:pStyle w:val="Heading1"/>
        <w:pBdr>
          <w:bottom w:val="single" w:color="BFC9D4" w:sz="6" w:space="4"/>
        </w:pBdr>
        <w:spacing w:after="120" w:before="260"/>
      </w:pPr>
      <w:r>
        <w:rPr>
          <w:rFonts w:ascii="Arial" w:cs="Arial" w:eastAsia="Arial" w:hAnsi="Arial"/>
          <w:b/>
          <w:bCs/>
          <w:color w:val="002858"/>
          <w:sz w:val="30"/>
          <w:szCs w:val="30"/>
        </w:rPr>
        <w:t xml:space="preserve">7. Estado de la verificación automatizada</w:t>
      </w:r>
    </w:p>
    <w:tbl>
      <w:tblPr>
        <w:tblW w:type="dxa" w:w="9360"/>
        <w:tblBorders>
          <w:top w:val="single" w:color="FBF1E1" w:sz="2"/>
          <w:left w:val="single" w:color="B26A00" w:sz="24"/>
          <w:bottom w:val="single" w:color="FBF1E1" w:sz="2"/>
          <w:right w:val="single" w:color="FBF1E1" w:sz="2"/>
          <w:insideH w:val="none"/>
          <w:insideV w:val="none"/>
        </w:tblBorders>
      </w:tblPr>
      <w:tblGrid>
        <w:gridCol w:w="9360"/>
      </w:tblGrid>
      <w:tr>
        <w:tc>
          <w:tcPr>
            <w:tcW w:type="dxa" w:w="9360"/>
            <w:shd w:fill="FBF1E1" w:color="auto" w:val="clear"/>
            <w:tcMar>
              <w:top w:type="dxa" w:w="90"/>
              <w:left w:type="dxa" w:w="140"/>
              <w:bottom w:type="dxa" w:w="90"/>
              <w:right w:type="dxa" w:w="140"/>
            </w:tcMar>
          </w:tcPr>
          <w:p>
            <w:pPr>
              <w:spacing w:after="40" w:before="0" w:line="276"/>
            </w:pPr>
            <w:r>
              <w:rPr>
                <w:rFonts w:ascii="Arial" w:cs="Arial" w:eastAsia="Arial" w:hAnsi="Arial"/>
                <w:b/>
                <w:bCs/>
                <w:i w:val="false"/>
                <w:iCs w:val="false"/>
                <w:color w:val="B26A00"/>
                <w:sz w:val="19"/>
                <w:szCs w:val="19"/>
              </w:rPr>
              <w:t xml:space="preserve">Cobertura de pruebas por re-establecer tras la migración</w:t>
            </w:r>
          </w:p>
          <w:p>
            <w:pPr>
              <w:spacing w:after="0" w:before="0" w:line="276"/>
            </w:pPr>
            <w:r>
              <w:rPr>
                <w:rFonts w:ascii="Arial" w:cs="Arial" w:eastAsia="Arial" w:hAnsi="Arial"/>
                <w:b w:val="false"/>
                <w:bCs w:val="false"/>
                <w:i w:val="false"/>
                <w:iCs w:val="false"/>
                <w:color w:val="1A1F2B"/>
                <w:sz w:val="18"/>
                <w:szCs w:val="18"/>
              </w:rPr>
              <w:t xml:space="preserve">La migración NestJS → Express eliminó la suite anterior (v1.0 reportaba 79 unit + 15 e2e / ~98% líneas). La suite actual es mínima: pruebas unitarias de configuration, auth.service, position (in-memory repo y field-map) y dos e2e (employee y additional-crud); la cobertura global está por debajo del gate SonarQube ≥80%.</w:t>
            </w:r>
          </w:p>
        </w:tc>
      </w:tr>
    </w:tbl>
    <w:p>
      <w:pPr>
        <w:spacing w:after="120" w:before="0" w:line="276"/>
      </w:pPr>
      <w:r>
        <w:rPr>
          <w:rFonts w:ascii="Arial" w:cs="Arial" w:eastAsia="Arial" w:hAnsi="Arial"/>
          <w:b w:val="false"/>
          <w:bCs w:val="false"/>
          <w:i w:val="false"/>
          <w:iCs w:val="false"/>
          <w:color w:val="1A1F2B"/>
          <w:sz w:val="20"/>
          <w:szCs w:val="20"/>
        </w:rPr>
        <w:t xml:space="preserve">Impacto en seguridad: los controles fueron verificados por revisión manual de código y en runtime (ver §8, evidencia), pero la red de seguridad automatizada que detectaría una regresión futura en esos controles está reducida. Acción recomendada: re-escribir la batería unit + e2e para los seis recursos (patrón employee), incluyendo pruebas explícitas de auth 401, país 400/422/403, P2C 400 y rate limit 429.</w:t>
      </w:r>
    </w:p>
    <w:p>
      <w:pPr>
        <w:pStyle w:val="Heading1"/>
        <w:pBdr>
          <w:bottom w:val="single" w:color="BFC9D4" w:sz="6" w:space="4"/>
        </w:pBdr>
        <w:spacing w:after="120" w:before="260"/>
      </w:pPr>
      <w:r>
        <w:rPr>
          <w:rFonts w:ascii="Arial" w:cs="Arial" w:eastAsia="Arial" w:hAnsi="Arial"/>
          <w:b/>
          <w:bCs/>
          <w:color w:val="002858"/>
          <w:sz w:val="30"/>
          <w:szCs w:val="30"/>
        </w:rPr>
        <w:t xml:space="preserve">8. Evidencia de verificación (runtime)</w:t>
      </w:r>
    </w:p>
    <w:p>
      <w:pPr>
        <w:pBdr>
          <w:top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 Cabeceras de seguridad (helmet)</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Strict-Transport-Security: max-age=31536000; includeSubDomains; preload</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X-Content-Type-Options: nosniff   X-Frame-Options: SAMEORIGIN</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Rate limit en /security/token (limite 10/min)</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401 401 401 401 401 401 401 401 401 401 429 429</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Autorizacion por pais: token CO pidiendo VE -&gt; 403</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Payload cifrado: POST RequestJson -&gt; 201 { "ResponseJson": "U2FsdGVkX1+..." }</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descifrado -&gt; {"idNumber":"...","message":"TRANSACCION EXITOSA"}</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Cipher invalido -&gt; 400</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w:t>
      </w:r>
    </w:p>
    <w:p>
      <w:pPr>
        <w:pBdr>
          <w:left w:val="single" w:color="3D6FA6" w:sz="24" w:space="6"/>
        </w:pBdr>
        <w:shd w:fill="0B1F33" w:color="auto" w:val="clear"/>
        <w:spacing w:after="0" w:before="0" w:line="240"/>
      </w:pPr>
      <w:r>
        <w:rPr>
          <w:rFonts w:ascii="Consolas" w:cs="Consolas" w:eastAsia="Consolas" w:hAnsi="Consolas"/>
          <w:color w:val="E6EDF3"/>
          <w:sz w:val="15"/>
          <w:szCs w:val="15"/>
        </w:rPr>
        <w:t xml:space="preserve"># Fix #5 (orden de la cadena): sin token, cualquier pais -&gt; 401 (ya no enumera)</w:t>
      </w:r>
    </w:p>
    <w:p>
      <w:pPr>
        <w:pBdr>
          <w:bottom w:val="single" w:color="0B1F33" w:sz="2"/>
          <w:left w:val="single" w:color="3D6FA6" w:sz="24" w:space="6"/>
        </w:pBdr>
        <w:shd w:fill="0B1F33" w:color="auto" w:val="clear"/>
        <w:spacing w:after="0" w:before="0" w:line="240"/>
      </w:pPr>
      <w:r>
        <w:rPr>
          <w:rFonts w:ascii="Consolas" w:cs="Consolas" w:eastAsia="Consolas" w:hAnsi="Consolas"/>
          <w:color w:val="E6EDF3"/>
          <w:sz w:val="15"/>
          <w:szCs w:val="15"/>
        </w:rPr>
        <w:t xml:space="preserve">sin token + VE -&gt; 401   sin token + AR -&gt; 401   sin token + sin header -&gt; 401</w:t>
      </w:r>
    </w:p>
    <w:p>
      <w:pPr>
        <w:pStyle w:val="Heading1"/>
        <w:pBdr>
          <w:bottom w:val="single" w:color="BFC9D4" w:sz="6" w:space="4"/>
        </w:pBdr>
        <w:spacing w:after="120" w:before="260"/>
      </w:pPr>
      <w:r>
        <w:rPr>
          <w:rFonts w:ascii="Arial" w:cs="Arial" w:eastAsia="Arial" w:hAnsi="Arial"/>
          <w:b/>
          <w:bCs/>
          <w:color w:val="002858"/>
          <w:sz w:val="30"/>
          <w:szCs w:val="30"/>
        </w:rPr>
        <w:t xml:space="preserve">9. Recomendaciones</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Re-establecer la cobertura de pruebas (unit + e2e) de los seis recursos hasta superar el gate SonarQube ≥80%, con casos explícitos de los controles de seguridad.</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Mantener la disciplina de que ninguna operación con cédula use verbo con id en la URL (todo por POST con body).</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Rotación periódica de llaves: par RSA del JWT y passphrase de payload (PAYLOAD_ENCRYPTION_KEY) en Secret Manager.</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Confirmar TDE (cifrado en reposo) en la BD Oracle espejo con el DBA.</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Asegurar que el servicio nunca se exponga sin TLS (solo detrás de App Engine / balanceador con HTTPS).</w:t>
      </w:r>
    </w:p>
    <w:p>
      <w:pPr>
        <w:pStyle w:val="ListParagraph"/>
        <w:numPr>
          <w:ilvl w:val="0"/>
          <w:numId w:val="2"/>
        </w:numPr>
        <w:spacing w:after="70" w:line="268"/>
      </w:pPr>
      <w:r>
        <w:rPr>
          <w:rFonts w:ascii="Arial" w:cs="Arial" w:eastAsia="Arial" w:hAnsi="Arial"/>
          <w:b w:val="false"/>
          <w:bCs w:val="false"/>
          <w:i w:val="false"/>
          <w:iCs w:val="false"/>
          <w:color w:val="1A1F2B"/>
          <w:sz w:val="20"/>
          <w:szCs w:val="20"/>
        </w:rPr>
        <w:t xml:space="preserve">Evaluar acortar el TTL del token o añadir revocación si el modelo de amenaza lo requiere (hoy 12 h por premisa).</w:t>
      </w:r>
    </w:p>
    <w:p>
      <w:pPr>
        <w:pStyle w:val="Heading1"/>
        <w:pBdr>
          <w:bottom w:val="single" w:color="BFC9D4" w:sz="6" w:space="4"/>
        </w:pBdr>
        <w:spacing w:after="120" w:before="260"/>
      </w:pPr>
      <w:r>
        <w:rPr>
          <w:rFonts w:ascii="Arial" w:cs="Arial" w:eastAsia="Arial" w:hAnsi="Arial"/>
          <w:b/>
          <w:bCs/>
          <w:color w:val="002858"/>
          <w:sz w:val="30"/>
          <w:szCs w:val="30"/>
        </w:rPr>
        <w:t xml:space="preserve">10. Conclusión</w:t>
      </w:r>
    </w:p>
    <w:p>
      <w:pPr>
        <w:spacing w:after="120" w:before="0" w:line="276"/>
      </w:pPr>
      <w:r>
        <w:rPr>
          <w:rFonts w:ascii="Arial" w:cs="Arial" w:eastAsia="Arial" w:hAnsi="Arial"/>
          <w:b w:val="false"/>
          <w:bCs w:val="false"/>
          <w:i w:val="false"/>
          <w:iCs w:val="false"/>
          <w:color w:val="1A1F2B"/>
          <w:sz w:val="20"/>
          <w:szCs w:val="20"/>
        </w:rPr>
        <w:t xml:space="preserve">Tras la migración a Express + App Engine, el FTD SPI Employee API conserva los controles de seguridad esperados para el manejo de PII de empleados. Los 8 hallazgos de la v1.0 siguen corregidos y verificados; el cifrado de payload P2C quedó reimplementado como middleware con comportamiento idéntico y probado extremo a extremo, la cédula no viaja en la URL en ninguna operación, y los cinco recursos nuevos heredan los mismos controles. No quedan riesgos residuales de seguridad abiertos. El único punto de atención es de calidad, no de seguridad: re-establecer la cobertura de pruebas automatizadas hasta el gate. Se recomienda mantener la disciplina de rotación de llaves, TDE en reposo y despliegue siempre detrás de TLS.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2"/>
        <w:sz w:val="16"/>
        <w:szCs w:val="16"/>
      </w:rPr>
      <w:t xml:space="preserve">Revisión de Seguridad v2.0 · 2026-07-16  ·  Página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2"/>
      </w:pBdr>
      <w:spacing w:after="60"/>
      <w:jc w:val="right"/>
    </w:pPr>
    <w:r>
      <w:rPr>
        <w:rFonts w:ascii="Arial" w:cs="Arial" w:eastAsia="Arial" w:hAnsi="Arial"/>
        <w:color w:val="5B6472"/>
        <w:sz w:val="16"/>
        <w:szCs w:val="16"/>
      </w:rPr>
      <w:t xml:space="preserve">ftd-spi-employee · Seguridad v2.0 · Farmatodo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 Seguridad ftd-spi-employee v2.0</dc:title>
  <dc:creator>Un-named</dc:creator>
  <cp:lastModifiedBy>Un-named</cp:lastModifiedBy>
  <cp:revision>1</cp:revision>
  <dcterms:created xsi:type="dcterms:W3CDTF">2026-07-16T21:01:24.732Z</dcterms:created>
  <dcterms:modified xsi:type="dcterms:W3CDTF">2026-07-16T21:01:24.732Z</dcterms:modified>
</cp:coreProperties>
</file>

<file path=docProps/custom.xml><?xml version="1.0" encoding="utf-8"?>
<Properties xmlns="http://schemas.openxmlformats.org/officeDocument/2006/custom-properties" xmlns:vt="http://schemas.openxmlformats.org/officeDocument/2006/docPropsVTypes"/>
</file>