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002858"/>
          <w:sz w:val="20"/>
          <w:szCs w:val="20"/>
        </w:rPr>
        <w:t xml:space="preserve">SELF-QA · FARMATODO DIGITAL</w:t>
      </w:r>
    </w:p>
    <w:p>
      <w:pPr>
        <w:pBdr>
          <w:bottom w:val="single" w:color="002858" w:sz="12" w:space="6"/>
        </w:pBdr>
        <w:spacing w:after="40"/>
      </w:pPr>
      <w:r>
        <w:rPr>
          <w:rFonts w:ascii="Arial" w:cs="Arial" w:eastAsia="Arial" w:hAnsi="Arial"/>
          <w:b/>
          <w:bCs/>
          <w:color w:val="1A1F2B"/>
          <w:sz w:val="40"/>
          <w:szCs w:val="40"/>
        </w:rPr>
        <w:t xml:space="preserve">FTD SPI Employee API — CRUD y consultas cifradas (P2C)</w:t>
      </w:r>
    </w:p>
    <w:p>
      <w:pPr>
        <w:spacing w:after="200" w:before="0" w:line="276"/>
      </w:pPr>
      <w:r>
        <w:rPr>
          <w:rFonts w:ascii="Arial" w:cs="Arial" w:eastAsia="Arial" w:hAnsi="Arial"/>
          <w:b/>
          <w:bCs/>
          <w:i w:val="false"/>
          <w:iCs w:val="false"/>
          <w:color w:val="002858"/>
          <w:sz w:val="22"/>
          <w:szCs w:val="22"/>
        </w:rPr>
        <w:t xml:space="preserve">Versión 2.0     ·     6 recursos · QA VE / CO</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Servicio</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ftd-spi-employee (Express + TypeScript · Node 22 · GCP App Engine)</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Prefijo de rutas</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/ftd-spi-employee/rest</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BD probada (QA)</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Venezuela (NOMQAVE) y Colombia (NOMQACO) — esquema people_one — Oracle 12.1.0.2</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PKGs</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pkg_management_{employee|position|company|marital_status|job_post|org_unit} (contrato I_JSON/O_JSON/O_COD/O_MESSAGE)</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Cifrado de payload</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CryptoJS.AES (crypto-js) — RequestJson / ResponseJson (P2C)</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Seguridad</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JWT RS256 (TTL 12h) + claim countries; X-Country-Code: VE|CO</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Pruebas automatizadas</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Suite en re-construcción tras la migración (config, auth, position + 2 e2e). Cobertura por debajo del gate SonarQube ≥80% — pendiente completar los 6 recursos</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Fecha QA</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16 de julio de 2026</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Resultado global</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EN VERIFICACIÓN — casos definidos para los 6 recursos; evidencia Postman PENDIENTE (se incrusta al recibirla)</w:t>
            </w:r>
          </w:p>
        </w:tc>
      </w:tr>
    </w:tbl>
    <w:p>
      <w:r>
        <w:br w:type="page"/>
      </w:r>
    </w:p>
    <w:p>
      <w:pPr>
        <w:spacing w:after="80" w:before="0" w:line="276"/>
      </w:pPr>
      <w:r>
        <w:rPr>
          <w:rFonts w:ascii="Arial" w:cs="Arial" w:eastAsia="Arial" w:hAnsi="Arial"/>
          <w:b/>
          <w:bCs/>
          <w:i w:val="false"/>
          <w:iCs w:val="false"/>
          <w:color w:val="002858"/>
          <w:sz w:val="24"/>
          <w:szCs w:val="24"/>
        </w:rPr>
        <w:t xml:space="preserve">Tabla de 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BFC9D4" w:sz="6" w:space="4"/>
        </w:pBdr>
        <w:spacing w:after="120" w:before="260"/>
      </w:pPr>
      <w:r>
        <w:rPr>
          <w:rFonts w:ascii="Arial" w:cs="Arial" w:eastAsia="Arial" w:hAnsi="Arial"/>
          <w:b/>
          <w:bCs/>
          <w:color w:val="002858"/>
          <w:sz w:val="30"/>
          <w:szCs w:val="30"/>
        </w:rPr>
        <w:t xml:space="preserve">1. Resumen ejecutivo</w:t>
      </w:r>
    </w:p>
    <w:p>
      <w:pPr>
        <w:spacing w:after="120" w:before="0" w:line="276"/>
      </w:pPr>
      <w:r>
        <w:rPr>
          <w:rFonts w:ascii="Arial" w:cs="Arial" w:eastAsia="Arial" w:hAnsi="Arial"/>
          <w:b w:val="false"/>
          <w:bCs w:val="false"/>
          <w:i w:val="false"/>
          <w:iCs w:val="false"/>
          <w:color w:val="1A1F2B"/>
          <w:sz w:val="20"/>
          <w:szCs w:val="20"/>
        </w:rPr>
        <w:t xml:space="preserve">Este documento define y reporta el Self-QA del FTD SPI Employee API tras la migración a Express + App Engine, cubriendo los seis recursos del servicio. Todas las operaciones de negocio viajan cifradas extremo a extremo (estándar P2C con crypto-js): el cliente envía el body como RequestJson cifrado y recibe ResponseJson cifrado. La operación se hace vía los paquetes PL/SQL pkg_management_* (contrato I_JSON/O_JSON/O_COD/O_MESSAGE).</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Estado de la evidencia</w:t>
            </w:r>
          </w:p>
          <w:p>
            <w:pPr>
              <w:spacing w:after="0" w:before="0" w:line="276"/>
            </w:pPr>
            <w:r>
              <w:rPr>
                <w:rFonts w:ascii="Arial" w:cs="Arial" w:eastAsia="Arial" w:hAnsi="Arial"/>
                <w:b w:val="false"/>
                <w:bCs w:val="false"/>
                <w:i w:val="false"/>
                <w:iCs w:val="false"/>
                <w:color w:val="1A1F2B"/>
                <w:sz w:val="18"/>
                <w:szCs w:val="18"/>
              </w:rPr>
              <w:t xml:space="preserve">Los casos y resultados esperados están definidos para los seis recursos. La evidencia gráfica de Postman se incrustará al recibirla (marcada PENDIENTE en cada caso). La verificación funcional del contrato HTTP puede ejecutarse hoy con FAKE_DB (repos en memoria) y contra QA VE/CO cuando esté disponible el VPC connector.</w:t>
            </w:r>
          </w:p>
        </w:tc>
      </w:tr>
    </w:tbl>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900"/>
        <w:gridCol w:w="3660"/>
        <w:gridCol w:w="1400"/>
        <w:gridCol w:w="1400"/>
      </w:tblGrid>
      <w:tr>
        <w:trPr>
          <w:tblHeader/>
        </w:trPr>
        <w:tc>
          <w:tcPr>
            <w:tcW w:type="dxa" w:w="29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Componente</w:t>
            </w:r>
          </w:p>
        </w:tc>
        <w:tc>
          <w:tcPr>
            <w:tcW w:type="dxa" w:w="366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 / Verificación</w:t>
            </w:r>
          </w:p>
        </w:tc>
        <w:tc>
          <w:tcPr>
            <w:tcW w:type="dxa" w:w="14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Casos</w:t>
            </w:r>
          </w:p>
        </w:tc>
        <w:tc>
          <w:tcPr>
            <w:tcW w:type="dxa" w:w="14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r>
      <w:tr>
        <w:tc>
          <w:tcPr>
            <w:tcW w:type="dxa" w:w="29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Employee (CRUD)</w:t>
            </w:r>
          </w:p>
        </w:tc>
        <w:tc>
          <w:tcPr>
            <w:tcW w:type="dxa" w:w="36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/employee/create·get·list·update·delete</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P1–P5</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Position (CRUD parcial)</w:t>
            </w:r>
          </w:p>
        </w:tc>
        <w:tc>
          <w:tcPr>
            <w:tcW w:type="dxa" w:w="36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/position/create·get·list·update</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PO1–PO4</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Company (consulta)</w:t>
            </w:r>
          </w:p>
        </w:tc>
        <w:tc>
          <w:tcPr>
            <w:tcW w:type="dxa" w:w="36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/company/get·list</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C1–C2</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Marital-status (consulta)</w:t>
            </w:r>
          </w:p>
        </w:tc>
        <w:tc>
          <w:tcPr>
            <w:tcW w:type="dxa" w:w="36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/marital-status/list</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M1</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Job-post (consulta)</w:t>
            </w:r>
          </w:p>
        </w:tc>
        <w:tc>
          <w:tcPr>
            <w:tcW w:type="dxa" w:w="36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/job-post/get·list</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J1–J2</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Org-unit (consulta)</w:t>
            </w:r>
          </w:p>
        </w:tc>
        <w:tc>
          <w:tcPr>
            <w:tcW w:type="dxa" w:w="36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/org-unit/get·list</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O1–O2</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Cifrado P2C</w:t>
            </w:r>
          </w:p>
        </w:tc>
        <w:tc>
          <w:tcPr>
            <w:tcW w:type="dxa" w:w="36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RequestJson / ResponseJson (CryptoJS.AES)</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Todos</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Seguridad / tenancy</w:t>
            </w:r>
          </w:p>
        </w:tc>
        <w:tc>
          <w:tcPr>
            <w:tcW w:type="dxa" w:w="36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401 / 400 / 422 / 403</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V1–V3</w:t>
            </w:r>
          </w:p>
        </w:tc>
        <w:tc>
          <w:tcPr>
            <w:tcW w:type="dxa" w:w="14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r>
        <w:tc>
          <w:tcPr>
            <w:tcW w:type="dxa" w:w="29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Validación / integridad</w:t>
            </w:r>
          </w:p>
        </w:tc>
        <w:tc>
          <w:tcPr>
            <w:tcW w:type="dxa" w:w="36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400 / 409 / 404</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V4–V7</w:t>
            </w:r>
          </w:p>
        </w:tc>
        <w:tc>
          <w:tcPr>
            <w:tcW w:type="dxa" w:w="14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2. Casos positivos — Employee (cifrado P2C)</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P1 — Crear empleado (cifrado) → 201</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/ftd-spi-employee/rest/employee/create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 (claro, se envía cifrado)</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"idNumber":"99999999","idType":"V","nationality":"VENEZOLANO","firstName":"MARIA","lastName":"PEREZ","birthDate":"1990-05-14","gender":"F","email":"maria.perez@mail.com"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201 Created</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Response (ResponseJson descifrado)</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"idNumber":"99999999","message":"TRANSACCION EXITOSA" }</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employee/create '{...}' | dec   # RequestJson cifrado (CryptoJS.AES), form-urlencoded</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P2 — Consultar por identificación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/ftd-spi-employee/rest/employee/get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"idNumber":"99999999"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Response</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Empleado con campos en inglés (idNumber, firstName, lastName, gender M/F, ...)</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employee/get '{"idNumber":"99999999"}'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P2).</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P3 — Listado paginado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/ftd-spi-employee/rest/employee/list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 "size":20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Response</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 "size":20, "items":[ ... ] }</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employee/list '{"page":1,"size":20}'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P3: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P3).</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P4 — Actualizar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/ftd-spi-employee/rest/employee/update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"idNumber":"99999999","firstName":"MARIA ALEJANDRA","city":"VALENCIA"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Response</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Empleado actualizado (mismo shape del GET)</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employee/update '{"idNumber":"99999999","firstName":"MARIA ALEJANDRA"}'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P4: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P4).</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P5 — Borrado lógico (cifrado) → 204</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/ftd-spi-employee/rest/employee/delete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"idNumber":"99999999"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204 No Content (sin body)</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curl ... --data-urlencode "RequestJson=$(printf '%s' '{"idNumber":"99999999"}' | enc)"   # -&gt; 204</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P5: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P5).</w:t>
            </w:r>
          </w:p>
        </w:tc>
      </w:tr>
    </w:tbl>
    <w:p>
      <w:pPr>
        <w:spacing w:after="100"/>
      </w:pPr>
      <w:r>
        <w:rPr>
          <w:rFonts w:ascii="Arial" w:cs="Arial" w:eastAsia="Arial" w:hAnsi="Arial"/>
          <w:b w:val="false"/>
          <w:bCs w:val="false"/>
          <w:i w:val="false"/>
          <w:iCs w:val="false"/>
          <w:color w:val="1A1F2B"/>
          <w:sz w:val="2"/>
          <w:szCs w:val="2"/>
        </w:rPr>
        <w:t xml:space="preserve"/>
      </w:r>
    </w:p>
    <w:p>
      <w:pPr>
        <w:pStyle w:val="Heading1"/>
        <w:pBdr>
          <w:bottom w:val="single" w:color="BFC9D4" w:sz="6" w:space="4"/>
        </w:pBdr>
        <w:spacing w:after="120" w:before="260"/>
      </w:pPr>
      <w:r>
        <w:rPr>
          <w:rFonts w:ascii="Arial" w:cs="Arial" w:eastAsia="Arial" w:hAnsi="Arial"/>
          <w:b/>
          <w:bCs/>
          <w:color w:val="002858"/>
          <w:sz w:val="30"/>
          <w:szCs w:val="30"/>
        </w:rPr>
        <w:t xml:space="preserve">3. Casos positivos — Position (create/get/list/update)</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PO1 — Crear cargo (cifrado) → 201</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/ftd-spi-employee/rest/position/create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"companyId":"0001","id":"CARGO001","name":"ANALISTA DE NOMINA","risk":"BAJO"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201 Created</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Response</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"companyId":"0001","id":"CARGO001","message":"TRANSACCION EXITOSA" }</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position/create '{...}'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PO1: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PO1).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PO2 — Consultar cargo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/ftd-spi-employee/rest/position/get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"companyId":"0001","id":"CARGO001"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position/get '{"companyId":"0001","id":"CARGO001"}'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PO2: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PO2).</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PO3 — Listar cargos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/ftd-spi-employee/rest/position/list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 "size":20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position/list '{"page":1,"size":20}'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PO3: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PO3).</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PO4 — Actualizar cargo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/ftd-spi-employee/rest/position/update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"companyId":"0001","id":"CARGO001","name":"ANALISTA SR","risk":"MEDIO"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position/update '{...}'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PO4: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PO4).</w:t>
            </w:r>
          </w:p>
        </w:tc>
      </w:tr>
    </w:tbl>
    <w:p>
      <w:pPr>
        <w:spacing w:after="100"/>
      </w:pPr>
      <w:r>
        <w:rPr>
          <w:rFonts w:ascii="Arial" w:cs="Arial" w:eastAsia="Arial" w:hAnsi="Arial"/>
          <w:b w:val="false"/>
          <w:bCs w:val="false"/>
          <w:i w:val="false"/>
          <w:iCs w:val="false"/>
          <w:color w:val="1A1F2B"/>
          <w:sz w:val="2"/>
          <w:szCs w:val="2"/>
        </w:rPr>
        <w:t xml:space="preserve"/>
      </w:r>
    </w:p>
    <w:p>
      <w:pPr>
        <w:pStyle w:val="Heading1"/>
        <w:pBdr>
          <w:bottom w:val="single" w:color="BFC9D4" w:sz="6" w:space="4"/>
        </w:pBdr>
        <w:spacing w:after="120" w:before="260"/>
      </w:pPr>
      <w:r>
        <w:rPr>
          <w:rFonts w:ascii="Arial" w:cs="Arial" w:eastAsia="Arial" w:hAnsi="Arial"/>
          <w:b/>
          <w:bCs/>
          <w:color w:val="002858"/>
          <w:sz w:val="30"/>
          <w:szCs w:val="30"/>
        </w:rPr>
        <w:t xml:space="preserve">4. Casos positivos — Consulta (company / marital-status / job-post / org-unit)</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C1 — Company get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/ftd-spi-employee/rest/company/get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"id":"0001"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company/get '{"id":"0001"}'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C1: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C1).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C2 — Company list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/ftd-spi-employee/rest/company/list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"page":1,"size":20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company/list '{"page":1,"size":20}'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C2: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C2).</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M1 — Marital-status list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/ftd-spi-employee/rest/marital-status/list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"page":1,"size":50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marital-status/list '{"page":1,"size":50}'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M1: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M1).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J1 — Job-post get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/ftd-spi-employee/rest/job-post/get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"companyId":"0001","unitId":"U001","id":"P001"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job-post/get '{"companyId":"0001","unitId":"U001","id":"P001"}'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J1: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J1).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J2 — Job-post list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/ftd-spi-employee/rest/job-post/list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"page":1,"size":20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job-post/list '{"page":1,"size":20}'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J2: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J2).</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O1 — Org-unit get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/ftd-spi-employee/rest/org-unit/get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"companyId":"0001","id":"U001"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org-unit/get '{"companyId":"0001","id":"U001"}'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O1: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O1).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00285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O2 — Org-unit list (cifrado) → 200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/ftd-spi-employee/rest/org-unit/list</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Body</w:t>
            </w:r>
          </w:p>
        </w:tc>
        <w:tc>
          <w:tcPr>
            <w:tcW w:type="dxa" w:w="6760"/>
            <w:shd w:fill="E8EEF4" w:color="auto" w:val="clear"/>
            <w:tcMar>
              <w:top w:type="dxa" w:w="60"/>
              <w:left w:type="dxa" w:w="110"/>
              <w:bottom w:type="dxa" w:w="60"/>
              <w:right w:type="dxa" w:w="110"/>
            </w:tcMar>
            <w:vAlign w:val="center"/>
          </w:tcPr>
          <w:p>
            <w:pPr>
              <w:spacing w:after="0" w:before="0" w:line="276"/>
            </w:pPr>
            <w:r>
              <w:rPr>
                <w:rFonts w:ascii="Consolas" w:cs="Consolas" w:eastAsia="Consolas" w:hAnsi="Consolas"/>
                <w:b w:val="false"/>
                <w:bCs w:val="false"/>
                <w:i w:val="false"/>
                <w:iCs w:val="false"/>
                <w:color w:val="1A1F2B"/>
                <w:sz w:val="18"/>
                <w:szCs w:val="18"/>
              </w:rPr>
              <w:t xml:space="preserve">{ "page":1,"size":20 }</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200 OK</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p>
      <w:pPr>
        <w:pBdr>
          <w:top w:val="single" w:color="0B1F33" w:sz="2"/>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post org-unit/list '{"page":1,"size":20}' | dec</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O2: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O2).</w:t>
            </w:r>
          </w:p>
        </w:tc>
      </w:tr>
    </w:tbl>
    <w:p>
      <w:pPr>
        <w:spacing w:after="100"/>
      </w:pPr>
      <w:r>
        <w:rPr>
          <w:rFonts w:ascii="Arial" w:cs="Arial" w:eastAsia="Arial" w:hAnsi="Arial"/>
          <w:b w:val="false"/>
          <w:bCs w:val="false"/>
          <w:i w:val="false"/>
          <w:iCs w:val="false"/>
          <w:color w:val="1A1F2B"/>
          <w:sz w:val="2"/>
          <w:szCs w:val="2"/>
        </w:rPr>
        <w:t xml:space="preserve"/>
      </w:r>
    </w:p>
    <w:p>
      <w:pPr>
        <w:pStyle w:val="Heading1"/>
        <w:pBdr>
          <w:bottom w:val="single" w:color="BFC9D4" w:sz="6" w:space="4"/>
        </w:pBdr>
        <w:spacing w:after="120" w:before="260"/>
      </w:pPr>
      <w:r>
        <w:rPr>
          <w:rFonts w:ascii="Arial" w:cs="Arial" w:eastAsia="Arial" w:hAnsi="Arial"/>
          <w:b/>
          <w:bCs/>
          <w:color w:val="002858"/>
          <w:sz w:val="30"/>
          <w:szCs w:val="30"/>
        </w:rPr>
        <w:t xml:space="preserve">5. Casos de validación — seguridad, tenancy e integridad</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E65100"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V1 — Sin token → 401</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/employee/get (sin Authorization)</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401 Unauthorized</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V1: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V1).</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E65100"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V2 — Sin X-Country-Code → 400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/employee/get (con token, sin header país)</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400 Bad Request</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V2: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V2).</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E65100"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V3 — País no habilitado (AR) → 422</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/employee/get con X-Country-Code: AR</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422 Unprocessable Entity</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V3: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V3).</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C6282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V4 — Body inválido → 400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/employee/create con { idNumber:"" }</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400 con errores por campo</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V4: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V4).</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C6282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V5 — Duplicado (employee) → 409</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/employee/create con cédula ya creada</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409 Conflict</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V5: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V5).</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C6282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V6 — get sin registros → 404</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/company/get con id inexistente</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404 Not Found</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V6: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V6).</w:t>
            </w:r>
          </w:p>
        </w:tc>
      </w:tr>
    </w:tbl>
    <w:p>
      <w:pPr>
        <w:spacing w:after="100"/>
      </w:pPr>
      <w:r>
        <w:rPr>
          <w:rFonts w:ascii="Arial" w:cs="Arial" w:eastAsia="Arial" w:hAnsi="Arial"/>
          <w:b w:val="false"/>
          <w:bCs w:val="false"/>
          <w:i w:val="false"/>
          <w:iCs w:val="false"/>
          <w:color w:val="1A1F2B"/>
          <w:sz w:val="2"/>
          <w:szCs w:val="2"/>
        </w:rPr>
        <w:t xml:space="preserve"/>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rPr>
          <w:cantSplit/>
        </w:trPr>
        <w:tc>
          <w:tcPr>
            <w:tcW w:type="dxa" w:w="9360"/>
            <w:gridSpan w:val="2"/>
            <w:shd w:fill="C6282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20"/>
                <w:szCs w:val="20"/>
              </w:rPr>
              <w:t xml:space="preserve">V7 — Cipher inválido → 400</w:t>
            </w:r>
          </w:p>
        </w:tc>
      </w:tr>
      <w:tr>
        <w:trPr>
          <w:cantSplit/>
        </w:trPr>
        <w:tc>
          <w:tcPr>
            <w:tcW w:type="dxa" w:w="2600"/>
            <w:shd w:fill="F0F4F8"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6760"/>
            <w:shd w:fill="F0F4F8"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POST /employee/get con RequestJson=not-a-valid-cipher</w:t>
            </w:r>
          </w:p>
        </w:tc>
      </w:tr>
      <w:tr>
        <w:trPr>
          <w:cantSplit/>
        </w:trPr>
        <w:tc>
          <w:tcPr>
            <w:tcW w:type="dxa" w:w="2600"/>
            <w:shd w:fill="E8EEF4"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HTTP esperado</w:t>
            </w:r>
          </w:p>
        </w:tc>
        <w:tc>
          <w:tcPr>
            <w:tcW w:type="dxa" w:w="6760"/>
            <w:shd w:fill="E8EEF4"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400 Invalid encrypted payload</w:t>
            </w:r>
          </w:p>
        </w:tc>
      </w:tr>
      <w:tr>
        <w:trPr>
          <w:cantSplit/>
        </w:trPr>
        <w:tc>
          <w:tcPr>
            <w:tcW w:type="dxa" w:w="260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c>
          <w:tcPr>
            <w:tcW w:type="dxa" w:w="6760"/>
            <w:shd w:fill="FFF8E1"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E65100"/>
                <w:sz w:val="18"/>
                <w:szCs w:val="18"/>
              </w:rPr>
              <w:t xml:space="preserve">⏳ PENDIENTE — evidencia por incrustar</w:t>
            </w:r>
          </w:p>
        </w:tc>
      </w:tr>
    </w:tbl>
    <w:p>
      <w:pPr>
        <w:spacing w:after="60"/>
      </w:pPr>
      <w:r>
        <w:rPr>
          <w:rFonts w:ascii="Arial" w:cs="Arial" w:eastAsia="Arial" w:hAnsi="Arial"/>
          <w:b w:val="false"/>
          <w:bCs w:val="false"/>
          <w:i w:val="false"/>
          <w:iCs w:val="false"/>
          <w:color w:val="1A1F2B"/>
          <w:sz w:val="2"/>
          <w:szCs w:val="2"/>
        </w:rPr>
        <w:t xml:space="preserve"/>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Evidencia Postman — V7: PENDIENTE</w:t>
            </w:r>
          </w:p>
          <w:p>
            <w:pPr>
              <w:spacing w:after="0" w:before="0" w:line="276"/>
            </w:pPr>
            <w:r>
              <w:rPr>
                <w:rFonts w:ascii="Arial" w:cs="Arial" w:eastAsia="Arial" w:hAnsi="Arial"/>
                <w:b w:val="false"/>
                <w:bCs w:val="false"/>
                <w:i w:val="false"/>
                <w:iCs w:val="false"/>
                <w:color w:val="1A1F2B"/>
                <w:sz w:val="18"/>
                <w:szCs w:val="18"/>
              </w:rPr>
              <w:t xml:space="preserve">Se incrustará la captura de Postman al recibirla (orden V7).</w:t>
            </w:r>
          </w:p>
        </w:tc>
      </w:tr>
    </w:tbl>
    <w:p>
      <w:pPr>
        <w:spacing w:after="100"/>
      </w:pPr>
      <w:r>
        <w:rPr>
          <w:rFonts w:ascii="Arial" w:cs="Arial" w:eastAsia="Arial" w:hAnsi="Arial"/>
          <w:b w:val="false"/>
          <w:bCs w:val="false"/>
          <w:i w:val="false"/>
          <w:iCs w:val="false"/>
          <w:color w:val="1A1F2B"/>
          <w:sz w:val="2"/>
          <w:szCs w:val="2"/>
        </w:rPr>
        <w:t xml:space="preserve"/>
      </w:r>
    </w:p>
    <w:p>
      <w:pPr>
        <w:pStyle w:val="Heading1"/>
        <w:pBdr>
          <w:bottom w:val="single" w:color="BFC9D4" w:sz="6" w:space="4"/>
        </w:pBdr>
        <w:spacing w:after="120" w:before="260"/>
      </w:pPr>
      <w:r>
        <w:rPr>
          <w:rFonts w:ascii="Arial" w:cs="Arial" w:eastAsia="Arial" w:hAnsi="Arial"/>
          <w:b/>
          <w:bCs/>
          <w:color w:val="002858"/>
          <w:sz w:val="30"/>
          <w:szCs w:val="30"/>
        </w:rPr>
        <w:t xml:space="preserve">6. Resumen de resultados</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1100"/>
        <w:gridCol w:w="4200"/>
        <w:gridCol w:w="2260"/>
        <w:gridCol w:w="1800"/>
      </w:tblGrid>
      <w:tr>
        <w:trPr>
          <w:tblHeader/>
        </w:trPr>
        <w:tc>
          <w:tcPr>
            <w:tcW w:type="dxa" w:w="11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ID</w:t>
            </w:r>
          </w:p>
        </w:tc>
        <w:tc>
          <w:tcPr>
            <w:tcW w:type="dxa" w:w="42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Descripción</w:t>
            </w:r>
          </w:p>
        </w:tc>
        <w:tc>
          <w:tcPr>
            <w:tcW w:type="dxa" w:w="226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Ruta</w:t>
            </w:r>
          </w:p>
        </w:tc>
        <w:tc>
          <w:tcPr>
            <w:tcW w:type="dxa" w:w="18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w:t>
            </w:r>
          </w:p>
        </w:tc>
      </w:tr>
      <w:tr>
        <w:tc>
          <w:tcPr>
            <w:tcW w:type="dxa" w:w="1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P1–P5</w:t>
            </w:r>
          </w:p>
        </w:tc>
        <w:tc>
          <w:tcPr>
            <w:tcW w:type="dxa" w:w="4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Employee CRUD cifrado</w:t>
            </w:r>
          </w:p>
        </w:tc>
        <w:tc>
          <w:tcPr>
            <w:tcW w:type="dxa" w:w="22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/employee/*</w:t>
            </w:r>
          </w:p>
        </w:tc>
        <w:tc>
          <w:tcPr>
            <w:tcW w:type="dxa" w:w="18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PO1–PO4</w:t>
            </w:r>
          </w:p>
        </w:tc>
        <w:tc>
          <w:tcPr>
            <w:tcW w:type="dxa" w:w="4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Position create/get/list/update</w:t>
            </w:r>
          </w:p>
        </w:tc>
        <w:tc>
          <w:tcPr>
            <w:tcW w:type="dxa" w:w="22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/position/*</w:t>
            </w:r>
          </w:p>
        </w:tc>
        <w:tc>
          <w:tcPr>
            <w:tcW w:type="dxa" w:w="18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C1–C2</w:t>
            </w:r>
          </w:p>
        </w:tc>
        <w:tc>
          <w:tcPr>
            <w:tcW w:type="dxa" w:w="4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Company get / list</w:t>
            </w:r>
          </w:p>
        </w:tc>
        <w:tc>
          <w:tcPr>
            <w:tcW w:type="dxa" w:w="22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/company/*</w:t>
            </w:r>
          </w:p>
        </w:tc>
        <w:tc>
          <w:tcPr>
            <w:tcW w:type="dxa" w:w="18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M1</w:t>
            </w:r>
          </w:p>
        </w:tc>
        <w:tc>
          <w:tcPr>
            <w:tcW w:type="dxa" w:w="4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Marital-status list</w:t>
            </w:r>
          </w:p>
        </w:tc>
        <w:tc>
          <w:tcPr>
            <w:tcW w:type="dxa" w:w="22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/marital-status/list</w:t>
            </w:r>
          </w:p>
        </w:tc>
        <w:tc>
          <w:tcPr>
            <w:tcW w:type="dxa" w:w="18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J1–J2</w:t>
            </w:r>
          </w:p>
        </w:tc>
        <w:tc>
          <w:tcPr>
            <w:tcW w:type="dxa" w:w="4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Job-post get / list</w:t>
            </w:r>
          </w:p>
        </w:tc>
        <w:tc>
          <w:tcPr>
            <w:tcW w:type="dxa" w:w="22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/job-post/*</w:t>
            </w:r>
          </w:p>
        </w:tc>
        <w:tc>
          <w:tcPr>
            <w:tcW w:type="dxa" w:w="18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O1–O2</w:t>
            </w:r>
          </w:p>
        </w:tc>
        <w:tc>
          <w:tcPr>
            <w:tcW w:type="dxa" w:w="4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Org-unit get / list</w:t>
            </w:r>
          </w:p>
        </w:tc>
        <w:tc>
          <w:tcPr>
            <w:tcW w:type="dxa" w:w="22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/org-unit/*</w:t>
            </w:r>
          </w:p>
        </w:tc>
        <w:tc>
          <w:tcPr>
            <w:tcW w:type="dxa" w:w="18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V1–V3</w:t>
            </w:r>
          </w:p>
        </w:tc>
        <w:tc>
          <w:tcPr>
            <w:tcW w:type="dxa" w:w="4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Seguridad / tenancy (401/400/422)</w:t>
            </w:r>
          </w:p>
        </w:tc>
        <w:tc>
          <w:tcPr>
            <w:tcW w:type="dxa" w:w="22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varios</w:t>
            </w:r>
          </w:p>
        </w:tc>
        <w:tc>
          <w:tcPr>
            <w:tcW w:type="dxa" w:w="18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r>
        <w:tc>
          <w:tcPr>
            <w:tcW w:type="dxa" w:w="1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V4–V7</w:t>
            </w:r>
          </w:p>
        </w:tc>
        <w:tc>
          <w:tcPr>
            <w:tcW w:type="dxa" w:w="4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Validación / integridad (400/409/404)</w:t>
            </w:r>
          </w:p>
        </w:tc>
        <w:tc>
          <w:tcPr>
            <w:tcW w:type="dxa" w:w="22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varios</w:t>
            </w:r>
          </w:p>
        </w:tc>
        <w:tc>
          <w:tcPr>
            <w:tcW w:type="dxa" w:w="18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 PENDIENTE</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7. Conclusiones</w:t>
      </w:r>
    </w:p>
    <w:p>
      <w:pPr>
        <w:pStyle w:val="ListParagraph"/>
        <w:numPr>
          <w:ilvl w:val="0"/>
          <w:numId w:val="2"/>
        </w:numPr>
        <w:spacing w:after="70" w:line="268"/>
      </w:pPr>
      <w:r>
        <w:rPr>
          <w:rFonts w:ascii="Arial" w:cs="Arial" w:eastAsia="Arial" w:hAnsi="Arial"/>
          <w:b/>
          <w:bCs/>
          <w:i w:val="false"/>
          <w:iCs w:val="false"/>
          <w:color w:val="002858"/>
          <w:sz w:val="20"/>
          <w:szCs w:val="20"/>
        </w:rPr>
        <w:t xml:space="preserve">→ </w:t>
      </w:r>
      <w:r>
        <w:rPr>
          <w:rFonts w:ascii="Arial" w:cs="Arial" w:eastAsia="Arial" w:hAnsi="Arial"/>
          <w:b w:val="false"/>
          <w:bCs w:val="false"/>
          <w:i w:val="false"/>
          <w:iCs w:val="false"/>
          <w:color w:val="1A1F2B"/>
          <w:sz w:val="20"/>
          <w:szCs w:val="20"/>
        </w:rPr>
        <w:t xml:space="preserve">El Self-QA v2.0 cubre los seis recursos del servicio migrado a Express + App Engine, con casos positivos y negativos y comandos cURL cifrados reproducibles.</w:t>
      </w:r>
    </w:p>
    <w:p>
      <w:pPr>
        <w:pStyle w:val="ListParagraph"/>
        <w:numPr>
          <w:ilvl w:val="0"/>
          <w:numId w:val="2"/>
        </w:numPr>
        <w:spacing w:after="70" w:line="268"/>
      </w:pPr>
      <w:r>
        <w:rPr>
          <w:rFonts w:ascii="Arial" w:cs="Arial" w:eastAsia="Arial" w:hAnsi="Arial"/>
          <w:b/>
          <w:bCs/>
          <w:i w:val="false"/>
          <w:iCs w:val="false"/>
          <w:color w:val="002858"/>
          <w:sz w:val="20"/>
          <w:szCs w:val="20"/>
        </w:rPr>
        <w:t xml:space="preserve">→ </w:t>
      </w:r>
      <w:r>
        <w:rPr>
          <w:rFonts w:ascii="Arial" w:cs="Arial" w:eastAsia="Arial" w:hAnsi="Arial"/>
          <w:b w:val="false"/>
          <w:bCs w:val="false"/>
          <w:i w:val="false"/>
          <w:iCs w:val="false"/>
          <w:color w:val="1A1F2B"/>
          <w:sz w:val="20"/>
          <w:szCs w:val="20"/>
        </w:rPr>
        <w:t xml:space="preserve">La evidencia gráfica de Postman está PENDIENTE de incrustar; se agregará por caso al recibir las capturas (orden P1→O2, V1→V7).</w:t>
      </w:r>
    </w:p>
    <w:p>
      <w:pPr>
        <w:pStyle w:val="ListParagraph"/>
        <w:numPr>
          <w:ilvl w:val="0"/>
          <w:numId w:val="2"/>
        </w:numPr>
        <w:spacing w:after="70" w:line="268"/>
      </w:pPr>
      <w:r>
        <w:rPr>
          <w:rFonts w:ascii="Arial" w:cs="Arial" w:eastAsia="Arial" w:hAnsi="Arial"/>
          <w:b/>
          <w:bCs/>
          <w:i w:val="false"/>
          <w:iCs w:val="false"/>
          <w:color w:val="002858"/>
          <w:sz w:val="20"/>
          <w:szCs w:val="20"/>
        </w:rPr>
        <w:t xml:space="preserve">→ </w:t>
      </w:r>
      <w:r>
        <w:rPr>
          <w:rFonts w:ascii="Arial" w:cs="Arial" w:eastAsia="Arial" w:hAnsi="Arial"/>
          <w:b w:val="false"/>
          <w:bCs w:val="false"/>
          <w:i w:val="false"/>
          <w:iCs w:val="false"/>
          <w:color w:val="1A1F2B"/>
          <w:sz w:val="20"/>
          <w:szCs w:val="20"/>
        </w:rPr>
        <w:t xml:space="preserve">La suite automatizada se está re-construyendo tras la migración; completar unit + e2e de los 6 recursos hasta el gate SonarQube ≥80% es la acción de calidad pendiente.</w:t>
      </w:r>
    </w:p>
    <w:p>
      <w:pPr>
        <w:pStyle w:val="ListParagraph"/>
        <w:numPr>
          <w:ilvl w:val="0"/>
          <w:numId w:val="2"/>
        </w:numPr>
        <w:spacing w:after="70" w:line="268"/>
      </w:pPr>
      <w:r>
        <w:rPr>
          <w:rFonts w:ascii="Arial" w:cs="Arial" w:eastAsia="Arial" w:hAnsi="Arial"/>
          <w:b/>
          <w:bCs/>
          <w:i w:val="false"/>
          <w:iCs w:val="false"/>
          <w:color w:val="002858"/>
          <w:sz w:val="20"/>
          <w:szCs w:val="20"/>
        </w:rPr>
        <w:t xml:space="preserve">→ </w:t>
      </w:r>
      <w:r>
        <w:rPr>
          <w:rFonts w:ascii="Arial" w:cs="Arial" w:eastAsia="Arial" w:hAnsi="Arial"/>
          <w:b w:val="false"/>
          <w:bCs w:val="false"/>
          <w:i w:val="false"/>
          <w:iCs w:val="false"/>
          <w:color w:val="1A1F2B"/>
          <w:sz w:val="20"/>
          <w:szCs w:val="20"/>
        </w:rPr>
        <w:t xml:space="preserve">El contrato HTTP puede validarse hoy con FAKE_DB (repos en memoria) sin depender de Oracle; la validación contra QA VE/CO requiere el VPC connector.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2"/>
        <w:sz w:val="16"/>
        <w:szCs w:val="16"/>
      </w:rPr>
      <w:t xml:space="preserve">Self-QA v2.0 · 2026-07-16 · carlos.rodriguez@farmatodo.com  ·  Página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2"/>
      </w:pBdr>
      <w:spacing w:after="60"/>
      <w:jc w:val="right"/>
    </w:pPr>
    <w:r>
      <w:rPr>
        <w:rFonts w:ascii="Arial" w:cs="Arial" w:eastAsia="Arial" w:hAnsi="Arial"/>
        <w:color w:val="5B6472"/>
        <w:sz w:val="16"/>
        <w:szCs w:val="16"/>
      </w:rPr>
      <w:t xml:space="preserve">ftd-spi-employee · Self-QA v2.0 · Farmatodo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SelfQA ftd-spi-employee v2.0</dc:title>
  <dc:creator>Un-named</dc:creator>
  <cp:lastModifiedBy>Un-named</cp:lastModifiedBy>
  <cp:revision>1</cp:revision>
  <dcterms:created xsi:type="dcterms:W3CDTF">2026-07-16T21:04:49.387Z</dcterms:created>
  <dcterms:modified xsi:type="dcterms:W3CDTF">2026-07-16T21:04:49.387Z</dcterms:modified>
</cp:coreProperties>
</file>

<file path=docProps/custom.xml><?xml version="1.0" encoding="utf-8"?>
<Properties xmlns="http://schemas.openxmlformats.org/officeDocument/2006/custom-properties" xmlns:vt="http://schemas.openxmlformats.org/officeDocument/2006/docPropsVTypes"/>
</file>