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002858"/>
          <w:sz w:val="40"/>
          <w:szCs w:val="40"/>
        </w:rPr>
        <w:t xml:space="preserve">Revisión de Seguridad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Employee API SPI — Servicio de empleados multi-tenant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Versión 1.0 · 2026-07-03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Servicio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 (NestJS 10 · Node 20 · GCP Cloud Run)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Revisor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carlos.rodriguez@farmatodo.com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Alcance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 del servicio: autenticación, autorización, tenancy, cifrado de payload, manejo de errores, configuración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Metodología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Revisión manual de código con lente OWASP API Security Top 10 (2023) + verificación en runtime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hallazgos: 5 corregidos, 1 riesgo residual documentado. Requisito P2C (cifrado de payload) implementado.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1. Resumen ejecutivo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 revisó el servicio Employee API SPI con foco en la confidencialidad de datos personales (cédula/PII), autenticación, autorización y superficie de exposición. La revisión identificó 6 hallazgos; 5 fueron corregidos en esta iteración y 1 queda como riesgo residual de bajo impacto, documentado. Adicionalmente, se implementó el requisito P2C de cifrado de payload extremo front↔back con la librería crypto-js (CryptoJS.AES), compatible con el estándar del portal Farmatodo. Todos los cambios están cubiertos por pruebas automatizadas (79 unitarias + 15 e2e) y verificados en runtime.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Conclusión: el servicio cumple los controles de seguridad esperados para el manejo de PII de empleados: cifrado en tránsito (TLS + HSTS), cifrado de payload de aplicación, autenticación JWT RS256, autorización por país, rate limiting y minimización de superficie.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2. Aclaración sobre la visibilidad de la cédula/PII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Observación planteada: "veo la cédula y el body del request sin cifrar en Postman". Análisis: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 que se ve en Postman es el body en la máquina del propio cliente, antes de enviarlo o después de recibirlo. Ningún API puede ocultar a su propio cliente lo que este mismo construye/recibe; no es una falla de cifrado.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 confidencialidad de la cédula se garantiza en tres capas: (1) en tránsito por TLS/HTTPS — Cloud Run termina TLS y ahora se fuerza con HSTS; (2) en reposo por el cifrado de la BD Oracle (TDE, responsabilidad del DBA); (3) en logs — el servicio no registra el body ni PII.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Requisito P2C adicional: se implementó cifrado del payload a nivel de aplicación (CryptoJS.AES) para que el body viaje cifrado además del TLS. Ver sección 5.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3. Hallazgos y estado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4360"/>
        <w:gridCol w:w="3000"/>
      </w:tblGrid>
      <w:tr>
        <w:trPr>
          <w:tblHeader/>
        </w:trP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Hallazgo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0020"/>
                <w:sz w:val="20"/>
                <w:szCs w:val="20"/>
              </w:rPr>
              <w:t xml:space="preserve">Alta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claim countries del JWT no se validaba: cualquier token válido accedía a cualquier país habilitado.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 — guard valida countries vs X-Country-Code → 403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00020"/>
                <w:sz w:val="20"/>
                <w:szCs w:val="20"/>
              </w:rPr>
              <w:t xml:space="preserve">Alta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rate limiting: /auth/token fuerza-bruteable y CRUD sin tope de consumo (OWASP API4).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 — @nestjs/throttler (60/min global, 10/min en /auth/token → 429)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26A00"/>
                <w:sz w:val="20"/>
                <w:szCs w:val="20"/>
              </w:rPr>
              <w:t xml:space="preserve">Media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cabeceras de seguridad; sin HSTS para forzar HTTPS.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 — helmet + HSTS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26A00"/>
                <w:sz w:val="20"/>
                <w:szCs w:val="20"/>
              </w:rPr>
              <w:t xml:space="preserve">Media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Swagger /docs público: exponía el contrato completo sin autenticación.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 — deshabilitado en producción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26A00"/>
                <w:sz w:val="20"/>
                <w:szCs w:val="20"/>
              </w:rPr>
              <w:t xml:space="preserve">Media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validación de país (middleware) corre antes de la autenticación → un no-autenticado puede enumerar países habilitados (422 vs 401).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26A00"/>
                <w:sz w:val="20"/>
                <w:szCs w:val="20"/>
              </w:rPr>
              <w:t xml:space="preserve">Residual — documentado; mitigación: convertir tenancy a guard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77700"/>
                <w:sz w:val="20"/>
                <w:szCs w:val="20"/>
              </w:rPr>
              <w:t xml:space="preserve">Baja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Comparación de client_secret no era de tiempo constante (timing).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 — crypto.timingSafeEqual</w:t>
            </w:r>
          </w:p>
        </w:tc>
      </w:tr>
      <w:tr>
        <w:tc>
          <w:tcPr>
            <w:tcW w:type="dxa" w:w="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77700"/>
                <w:sz w:val="20"/>
                <w:szCs w:val="20"/>
              </w:rPr>
              <w:t xml:space="preserve">Baja</w:t>
            </w:r>
          </w:p>
        </w:tc>
        <w:tc>
          <w:tcPr>
            <w:tcW w:type="dxa" w:w="4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filtro de errores reemplazaba mensajes específicos (404/403/422 con O_MESSAGE del PKG) por la etiqueta genérica.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 — preserva el mensaje específico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4. Controles de seguridad implementados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RS256, algoritmo fijado (rechaza alg:none/HS256), TTL 12h; llaves en Secret Manager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Autorización por país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Guard valida claim countries vs X-Country-Code → 403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en tránsito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terminado en Cloud Run + HSTS (helmet); el servicio siempre va detrás de TLS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 (P2C)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CryptoJS.AES (crypto-js): RequestJson / ResponseJson con passphrase compartida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@nestjs/throttler: 60 req/min global, 10 req/min en /auth/token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Allowlist por CORS_ORIGINS, credentials true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Cabeceras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helmet (HSTS, X-Content-Type-Options, X-Frame-Options, etc.)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de cliente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SHA-256 + comparación en tiempo constante (timingSafeEqual)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Superficie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Swagger /docs deshabilitado en producción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 / mass-assignment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con whitelist + forbidNonWhitelisted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PKG parametriza con JSON_TABLE; el API nunca concatena SQL</w:t>
            </w:r>
          </w:p>
        </w:tc>
      </w:tr>
      <w:tr>
        <w:tc>
          <w:tcPr>
            <w:tcW w:type="dxa" w:w="2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Fuga en errores</w:t>
            </w:r>
          </w:p>
        </w:tc>
        <w:tc>
          <w:tcPr>
            <w:tcW w:type="dxa" w:w="64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genérico sin filtrar detalle interno de Oracle (ORA-xxxx solo en logs)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5. Cifrado de payload (P2C) — crypto-js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 implementó el estándar de cifrado front↔back de Farmatodo usando la librería crypto-js (la misma del portal), esquema CryptoJS.AES (formato OpenSSL "Salted__", AES-CBC con KDF por passphrase).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Request: el front envía el campo RequestJson = CryptoJS.AES.encrypt(JSON.stringify(data), KEY). Un interceptor lo descifra ANTES de la validación; los DTOs operan sobre el JSON en claro.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Response: cuando el request llegó cifrado, la respuesta se devuelve como ResponseJson cifrado con la misma passphrase.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Llave: passphrase compartida en PAYLOAD_ENCRYPTION_KEY (Secret Manager). Vacía = deshabilitado. Payload cifrado inválido → 400.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Compatibilidad verificada: crypto-js en el backend descifra exactamente lo que produce CryptoJS en el front (mismo prefijo Salted__).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6. Riesgo residual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Hallazgo #5 (severidad media): la validación del header X-Country-Code está en un middleware, que en NestJS se ejecuta antes de la autenticación. Un llamante no autenticado con un header de país inválido recibe 400/422 antes que 401, lo que permite enumerar qué países están habilitados.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Impacto real: bajo — solo revela la lista de países habilitados (información poco sensible), no datos de empleados.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Mitigación propuesta: convertir el módulo de tenancy de middleware a guard, para que la autenticación ocurra primero. No implementado aún porque altera el orden de códigos de respuesta documentado; requiere validación con el equipo.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7. Evidencia de verificación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Verificado en runtime y por pruebas automatizadas: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Cabeceras de seguridad (helmet)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Strict-Transport-Security: max-age=31536000; includeSubDomains; preload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X-Content-Type-Options: nosniff   X-Frame-Options: SAMEORIGIN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Rate limit en /auth/token (limite 10/min)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401 401 401 401 401 401 401 401 401 401 429 429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Autorizacion por pais: token CO pidiendo VE -&gt; 403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Payload cifrado: POST RequestJson -&gt; 201 { "ResponseJson": "U2FsdGVkX1+..." 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  descifrado -&gt; {"idNumber":"77777777","message":"TRANSACCION EXITOSA"}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Cipher invalido -&gt; 400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Cobertura de pruebas: 79 unitarias + 15 e2e verdes; cobertura de líneas ~98%, ramas ~86% (supera el quality gate de SonarQube ≥80%).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8. Recomendaciones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Resolver el riesgo residual #5 (tenancy como guard) tras validar el cambio de contrato con el equipo.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Rotación periódica de llaves: par RSA del JWT y passphrase de payload (PAYLOAD_ENCRYPTION_KEY) en Secret Manager.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Confirmar TDE (cifrado en reposo) en la BD Oracle espejo con el DBA.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Asegurar que el servicio nunca se exponga sin TLS (solo detrás de Cloud Run / balanceador con HTTPS).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Evaluar acortar el TTL del token o añadir revocación si el modelo de amenaza lo requiere (hoy 12h por premisa).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9. Conclusión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Employee API SPI implementa los controles de seguridad esperados para el manejo de PII de empleados. Los 5 hallazgos accionables fueron corregidos y verificados; el requisito P2C de cifrado de payload quedó implementado con crypto-js y probado extremo a extremo. El único riesgo residual es de bajo impacto y está documentado con su mitigación. Se recomienda cerrar el residual y mantener la disciplina de rotación de llaves y despliegue siempre detrás de TLS.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Confidencial ·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Revisión de Seguridad · Employee API SPI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0285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285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2026-07-03T18:26:43.409Z</dcterms:created>
  <dcterms:modified xsi:type="dcterms:W3CDTF">2026-07-03T18:26:43.409Z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