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002858"/>
          <w:sz w:val="40"/>
          <w:szCs w:val="40"/>
        </w:rPr>
        <w:t xml:space="preserve">Revisión de Seguridad</w:t>
      </w:r>
    </w:p>
    <w:p>
      <w:pPr>
        <w:spacing w:after="60"/>
        <w:jc w:val="center"/>
      </w:pPr>
      <w:r>
        <w:rPr>
          <w:rFonts w:ascii="Arial" w:cs="Arial" w:eastAsia="Arial" w:hAnsi="Arial"/>
          <w:b/>
          <w:bCs/>
          <w:sz w:val="26"/>
          <w:szCs w:val="26"/>
        </w:rPr>
        <w:t xml:space="preserve">FTD SPI Employee API — Servicio de empleados multi-tenant</w:t>
      </w:r>
    </w:p>
    <w:p>
      <w:pPr>
        <w:spacing w:after="240"/>
        <w:jc w:val="center"/>
      </w:pPr>
      <w:r>
        <w:rPr>
          <w:rFonts w:ascii="Arial" w:cs="Arial" w:eastAsia="Arial" w:hAnsi="Arial"/>
          <w:color w:val="555555"/>
          <w:sz w:val="22"/>
          <w:szCs w:val="22"/>
        </w:rPr>
        <w:t xml:space="preserve">Versión 1.0 · 2026-07-03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0B0B0" w:sz="1"/>
              <w:left w:val="single" w:color="B0B0B0" w:sz="1"/>
              <w:bottom w:val="single" w:color="B0B0B0" w:sz="1"/>
              <w:right w:val="single" w:color="B0B0B0" w:sz="1"/>
            </w:tcBorders>
            <w:shd w:fill="002858"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160"/>
            <w:tcBorders>
              <w:top w:val="single" w:color="B0B0B0" w:sz="1"/>
              <w:left w:val="single" w:color="B0B0B0" w:sz="1"/>
              <w:bottom w:val="single" w:color="B0B0B0" w:sz="1"/>
              <w:right w:val="single" w:color="B0B0B0" w:sz="1"/>
            </w:tcBorders>
            <w:shd w:fill="002858"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Servicio</w:t>
            </w:r>
          </w:p>
        </w:tc>
        <w:tc>
          <w:tcPr>
            <w:tcW w:type="dxa" w:w="71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ftd-spi-employee (NestJS 10 · Node 20 · GCP Cloud Run)</w:t>
            </w:r>
          </w:p>
        </w:tc>
      </w:tr>
      <w:tr>
        <w:tc>
          <w:tcPr>
            <w:tcW w:type="dxa" w:w="22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Revisor</w:t>
            </w:r>
          </w:p>
        </w:tc>
        <w:tc>
          <w:tcPr>
            <w:tcW w:type="dxa" w:w="71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carlos.rodriguez@farmatodo.com</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Alcance</w:t>
            </w:r>
          </w:p>
        </w:tc>
        <w:tc>
          <w:tcPr>
            <w:tcW w:type="dxa" w:w="71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Código del servicio: autenticación, autorización, tenancy, cifrado de payload, manejo de errores, configuración</w:t>
            </w:r>
          </w:p>
        </w:tc>
      </w:tr>
      <w:tr>
        <w:tc>
          <w:tcPr>
            <w:tcW w:type="dxa" w:w="22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Metodología</w:t>
            </w:r>
          </w:p>
        </w:tc>
        <w:tc>
          <w:tcPr>
            <w:tcW w:type="dxa" w:w="71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Revisión manual de código con lente OWASP API Security Top 10 (2023) + verificación en runtime</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Resultado</w:t>
            </w:r>
          </w:p>
        </w:tc>
        <w:tc>
          <w:tcPr>
            <w:tcW w:type="dxa" w:w="71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8 hallazgos, todos corregidos y verificados. Requisito P2C (cifrado de payload + cédula fuera de la URL) implementado. Sin riesgos residuales abiertos.</w:t>
            </w:r>
          </w:p>
        </w:tc>
      </w:tr>
    </w:tbl>
    <w:p>
      <w:r>
        <w:br w:type="page"/>
      </w:r>
    </w:p>
    <w:p>
      <w:pPr>
        <w:pStyle w:val="Heading1"/>
        <w:spacing w:after="140" w:before="280"/>
      </w:pPr>
      <w:r>
        <w:rPr>
          <w:rFonts w:ascii="Arial" w:cs="Arial" w:eastAsia="Arial" w:hAnsi="Arial"/>
          <w:b/>
          <w:bCs/>
          <w:color w:val="002858"/>
          <w:sz w:val="28"/>
          <w:szCs w:val="28"/>
        </w:rPr>
        <w:t xml:space="preserve">1. Resumen ejecutivo</w:t>
      </w:r>
    </w:p>
    <w:p>
      <w:pPr>
        <w:spacing w:after="120"/>
      </w:pPr>
      <w:r>
        <w:rPr>
          <w:rFonts w:ascii="Arial" w:cs="Arial" w:eastAsia="Arial" w:hAnsi="Arial"/>
          <w:sz w:val="22"/>
          <w:szCs w:val="22"/>
        </w:rPr>
        <w:t xml:space="preserve">Se revisó el servicio FTD SPI Employee API con foco en la confidencialidad de datos personales (cédula/PII), autenticación, autorización y superficie de exposición. La revisión identificó 8 hallazgos; todos fueron corregidos y verificados en esta iteración, sin riesgos residuales abiertos. Adicionalmente, se implementó el requisito P2C de cifrado de payload extremo front↔back con la librería crypto-js (CryptoJS.AES), compatible con el estándar del portal Farmatodo, y se movieron todas las operaciones a POST para que la cédula nunca viaje en la URL. Todos los cambios están cubiertos por pruebas automatizadas (78 unitarias + 15 e2e) y verificados en runtime.</w:t>
      </w:r>
    </w:p>
    <w:p>
      <w:pPr>
        <w:spacing w:after="120"/>
      </w:pPr>
      <w:r>
        <w:rPr>
          <w:rFonts w:ascii="Arial" w:cs="Arial" w:eastAsia="Arial" w:hAnsi="Arial"/>
          <w:sz w:val="22"/>
          <w:szCs w:val="22"/>
        </w:rPr>
        <w:t xml:space="preserve">Conclusión: el servicio cumple los controles de seguridad esperados para el manejo de PII de empleados: cifrado en tránsito (TLS + HSTS), cifrado de payload de aplicación, autenticación JWT RS256, autorización por país, rate limiting y minimización de superficie.</w:t>
      </w:r>
    </w:p>
    <w:p>
      <w:pPr>
        <w:pStyle w:val="Heading1"/>
        <w:spacing w:after="140" w:before="280"/>
      </w:pPr>
      <w:r>
        <w:rPr>
          <w:rFonts w:ascii="Arial" w:cs="Arial" w:eastAsia="Arial" w:hAnsi="Arial"/>
          <w:b/>
          <w:bCs/>
          <w:color w:val="002858"/>
          <w:sz w:val="28"/>
          <w:szCs w:val="28"/>
        </w:rPr>
        <w:t xml:space="preserve">2. Aclaración sobre la visibilidad de la cédula/PII</w:t>
      </w:r>
    </w:p>
    <w:p>
      <w:pPr>
        <w:spacing w:after="120"/>
      </w:pPr>
      <w:r>
        <w:rPr>
          <w:rFonts w:ascii="Arial" w:cs="Arial" w:eastAsia="Arial" w:hAnsi="Arial"/>
          <w:sz w:val="22"/>
          <w:szCs w:val="22"/>
        </w:rPr>
        <w:t xml:space="preserve">Observación planteada: "veo la cédula y el body del request sin cifrar en Postman". Análisis:</w:t>
      </w:r>
    </w:p>
    <w:p>
      <w:pPr>
        <w:pStyle w:val="ListParagraph"/>
        <w:numPr>
          <w:ilvl w:val="0"/>
          <w:numId w:val="2"/>
        </w:numPr>
        <w:spacing w:after="80"/>
      </w:pPr>
      <w:r>
        <w:rPr>
          <w:rFonts w:ascii="Arial" w:cs="Arial" w:eastAsia="Arial" w:hAnsi="Arial"/>
          <w:sz w:val="22"/>
          <w:szCs w:val="22"/>
        </w:rPr>
        <w:t xml:space="preserve">Lo que se ve en Postman es el body en la máquina del propio cliente, antes de enviarlo o después de recibirlo. Ningún API puede ocultar a su propio cliente lo que este mismo construye/recibe; no es una falla de cifrado.</w:t>
      </w:r>
    </w:p>
    <w:p>
      <w:pPr>
        <w:pStyle w:val="ListParagraph"/>
        <w:numPr>
          <w:ilvl w:val="0"/>
          <w:numId w:val="2"/>
        </w:numPr>
        <w:spacing w:after="80"/>
      </w:pPr>
      <w:r>
        <w:rPr>
          <w:rFonts w:ascii="Arial" w:cs="Arial" w:eastAsia="Arial" w:hAnsi="Arial"/>
          <w:sz w:val="22"/>
          <w:szCs w:val="22"/>
        </w:rPr>
        <w:t xml:space="preserve">La confidencialidad de la cédula se garantiza en tres capas: (1) en tránsito por TLS/HTTPS — Cloud Run termina TLS y ahora se fuerza con HSTS; (2) en reposo por el cifrado de la BD Oracle (TDE, responsabilidad del DBA); (3) en logs — el servicio no registra el body ni PII.</w:t>
      </w:r>
    </w:p>
    <w:p>
      <w:pPr>
        <w:pStyle w:val="ListParagraph"/>
        <w:numPr>
          <w:ilvl w:val="0"/>
          <w:numId w:val="2"/>
        </w:numPr>
        <w:spacing w:after="80"/>
      </w:pPr>
      <w:r>
        <w:rPr>
          <w:rFonts w:ascii="Arial" w:cs="Arial" w:eastAsia="Arial" w:hAnsi="Arial"/>
          <w:sz w:val="22"/>
          <w:szCs w:val="22"/>
        </w:rPr>
        <w:t xml:space="preserve">Requisito P2C adicional: se implementó cifrado del payload a nivel de aplicación (CryptoJS.AES) para que el body viaje cifrado además del TLS. Ver sección 5.</w:t>
      </w:r>
    </w:p>
    <w:p>
      <w:pPr>
        <w:pStyle w:val="ListParagraph"/>
        <w:numPr>
          <w:ilvl w:val="0"/>
          <w:numId w:val="2"/>
        </w:numPr>
        <w:spacing w:after="80"/>
      </w:pPr>
      <w:r>
        <w:rPr>
          <w:rFonts w:ascii="Arial" w:cs="Arial" w:eastAsia="Arial" w:hAnsi="Arial"/>
          <w:sz w:val="22"/>
          <w:szCs w:val="22"/>
        </w:rPr>
        <w:t xml:space="preserve">La cédula NUNCA viaja en la URL: todas las operaciones (create, search, list, update, delete) usan POST con el identificador en el body cifrable — evita que la cédula quede en access logs, proxies o historiales.</w:t>
      </w:r>
    </w:p>
    <w:p>
      <w:pPr>
        <w:pStyle w:val="Heading1"/>
        <w:spacing w:after="140" w:before="280"/>
      </w:pPr>
      <w:r>
        <w:rPr>
          <w:rFonts w:ascii="Arial" w:cs="Arial" w:eastAsia="Arial" w:hAnsi="Arial"/>
          <w:b/>
          <w:bCs/>
          <w:color w:val="002858"/>
          <w:sz w:val="28"/>
          <w:szCs w:val="28"/>
        </w:rPr>
        <w:t xml:space="preserve">3. Hallazgos y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4360"/>
        <w:gridCol w:w="3000"/>
      </w:tblGrid>
      <w:tr>
        <w:trPr>
          <w:tblHeader/>
        </w:trPr>
        <w:tc>
          <w:tcPr>
            <w:tcW w:type="dxa" w:w="500"/>
            <w:tcBorders>
              <w:top w:val="single" w:color="B0B0B0" w:sz="1"/>
              <w:left w:val="single" w:color="B0B0B0" w:sz="1"/>
              <w:bottom w:val="single" w:color="B0B0B0" w:sz="1"/>
              <w:right w:val="single" w:color="B0B0B0" w:sz="1"/>
            </w:tcBorders>
            <w:shd w:fill="00285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B0B0B0" w:sz="1"/>
              <w:left w:val="single" w:color="B0B0B0" w:sz="1"/>
              <w:bottom w:val="single" w:color="B0B0B0" w:sz="1"/>
              <w:right w:val="single" w:color="B0B0B0" w:sz="1"/>
            </w:tcBorders>
            <w:shd w:fill="002858" w:val="clear"/>
            <w:tcMar>
              <w:top w:type="dxa" w:w="80"/>
              <w:left w:type="dxa" w:w="120"/>
              <w:bottom w:type="dxa" w:w="80"/>
              <w:right w:type="dxa" w:w="120"/>
            </w:tcMar>
          </w:tcPr>
          <w:p>
            <w:r>
              <w:rPr>
                <w:rFonts w:ascii="Arial" w:cs="Arial" w:eastAsia="Arial" w:hAnsi="Arial"/>
                <w:b/>
                <w:bCs/>
                <w:color w:val="FFFFFF"/>
                <w:sz w:val="20"/>
                <w:szCs w:val="20"/>
              </w:rPr>
              <w:t xml:space="preserve">Severidad</w:t>
            </w:r>
          </w:p>
        </w:tc>
        <w:tc>
          <w:tcPr>
            <w:tcW w:type="dxa" w:w="4360"/>
            <w:tcBorders>
              <w:top w:val="single" w:color="B0B0B0" w:sz="1"/>
              <w:left w:val="single" w:color="B0B0B0" w:sz="1"/>
              <w:bottom w:val="single" w:color="B0B0B0" w:sz="1"/>
              <w:right w:val="single" w:color="B0B0B0" w:sz="1"/>
            </w:tcBorders>
            <w:shd w:fill="002858" w:val="clear"/>
            <w:tcMar>
              <w:top w:type="dxa" w:w="80"/>
              <w:left w:type="dxa" w:w="120"/>
              <w:bottom w:type="dxa" w:w="80"/>
              <w:right w:type="dxa" w:w="120"/>
            </w:tcMar>
          </w:tcPr>
          <w:p>
            <w:r>
              <w:rPr>
                <w:rFonts w:ascii="Arial" w:cs="Arial" w:eastAsia="Arial" w:hAnsi="Arial"/>
                <w:b/>
                <w:bCs/>
                <w:color w:val="FFFFFF"/>
                <w:sz w:val="20"/>
                <w:szCs w:val="20"/>
              </w:rPr>
              <w:t xml:space="preserve">Hallazgo</w:t>
            </w:r>
          </w:p>
        </w:tc>
        <w:tc>
          <w:tcPr>
            <w:tcW w:type="dxa" w:w="3000"/>
            <w:tcBorders>
              <w:top w:val="single" w:color="B0B0B0" w:sz="1"/>
              <w:left w:val="single" w:color="B0B0B0" w:sz="1"/>
              <w:bottom w:val="single" w:color="B0B0B0" w:sz="1"/>
              <w:right w:val="single" w:color="B0B0B0" w:sz="1"/>
            </w:tcBorders>
            <w:shd w:fill="002858"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B00020"/>
                <w:sz w:val="20"/>
                <w:szCs w:val="20"/>
              </w:rPr>
              <w:t xml:space="preserve">Alta</w:t>
            </w:r>
          </w:p>
        </w:tc>
        <w:tc>
          <w:tcPr>
            <w:tcW w:type="dxa" w:w="43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El claim countries del JWT no se validaba: cualquier token válido accedía a cualquier país habilitado.</w:t>
            </w:r>
          </w:p>
        </w:tc>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2E7D32"/>
                <w:sz w:val="20"/>
                <w:szCs w:val="20"/>
              </w:rPr>
              <w:t xml:space="preserve">Corregido — guard valida countries vs X-Country-Code → 403</w:t>
            </w:r>
          </w:p>
        </w:tc>
      </w:tr>
      <w:tr>
        <w:tc>
          <w:tcPr>
            <w:tcW w:type="dxa" w:w="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B00020"/>
                <w:sz w:val="20"/>
                <w:szCs w:val="20"/>
              </w:rPr>
              <w:t xml:space="preserve">Alta</w:t>
            </w:r>
          </w:p>
        </w:tc>
        <w:tc>
          <w:tcPr>
            <w:tcW w:type="dxa" w:w="43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Sin rate limiting: /auth/token fuerza-bruteable y CRUD sin tope de consumo (OWASP API4).</w:t>
            </w:r>
          </w:p>
        </w:tc>
        <w:tc>
          <w:tcPr>
            <w:tcW w:type="dxa" w:w="30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2E7D32"/>
                <w:sz w:val="20"/>
                <w:szCs w:val="20"/>
              </w:rPr>
              <w:t xml:space="preserve">Corregido — @nestjs/throttler (60/min global, 10/min en /auth/token → 429)</w:t>
            </w:r>
          </w:p>
        </w:tc>
      </w:tr>
      <w:tr>
        <w:tc>
          <w:tcPr>
            <w:tcW w:type="dxa" w:w="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B26A00"/>
                <w:sz w:val="20"/>
                <w:szCs w:val="20"/>
              </w:rPr>
              <w:t xml:space="preserve">Media</w:t>
            </w:r>
          </w:p>
        </w:tc>
        <w:tc>
          <w:tcPr>
            <w:tcW w:type="dxa" w:w="43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Sin cabeceras de seguridad; sin HSTS para forzar HTTPS.</w:t>
            </w:r>
          </w:p>
        </w:tc>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2E7D32"/>
                <w:sz w:val="20"/>
                <w:szCs w:val="20"/>
              </w:rPr>
              <w:t xml:space="preserve">Corregido — helmet + HSTS</w:t>
            </w:r>
          </w:p>
        </w:tc>
      </w:tr>
      <w:tr>
        <w:tc>
          <w:tcPr>
            <w:tcW w:type="dxa" w:w="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1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B26A00"/>
                <w:sz w:val="20"/>
                <w:szCs w:val="20"/>
              </w:rPr>
              <w:t xml:space="preserve">Media</w:t>
            </w:r>
          </w:p>
        </w:tc>
        <w:tc>
          <w:tcPr>
            <w:tcW w:type="dxa" w:w="43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Swagger /docs público: exponía el contrato completo sin autenticación.</w:t>
            </w:r>
          </w:p>
        </w:tc>
        <w:tc>
          <w:tcPr>
            <w:tcW w:type="dxa" w:w="30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2E7D32"/>
                <w:sz w:val="20"/>
                <w:szCs w:val="20"/>
              </w:rPr>
              <w:t xml:space="preserve">Corregido — deshabilitado en producción</w:t>
            </w:r>
          </w:p>
        </w:tc>
      </w:tr>
      <w:tr>
        <w:tc>
          <w:tcPr>
            <w:tcW w:type="dxa" w:w="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5</w:t>
            </w:r>
          </w:p>
        </w:tc>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B26A00"/>
                <w:sz w:val="20"/>
                <w:szCs w:val="20"/>
              </w:rPr>
              <w:t xml:space="preserve">Media</w:t>
            </w:r>
          </w:p>
        </w:tc>
        <w:tc>
          <w:tcPr>
            <w:tcW w:type="dxa" w:w="43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La validación de país (middleware) corría antes de la autenticación → un no-autenticado podía enumerar países habilitados (422 vs 401).</w:t>
            </w:r>
          </w:p>
        </w:tc>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2E7D32"/>
                <w:sz w:val="20"/>
                <w:szCs w:val="20"/>
              </w:rPr>
              <w:t xml:space="preserve">Corregido — tenancy convertida a guard; auth corre primero (401 antes de cualquier chequeo de país)</w:t>
            </w:r>
          </w:p>
        </w:tc>
      </w:tr>
      <w:tr>
        <w:tc>
          <w:tcPr>
            <w:tcW w:type="dxa" w:w="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1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B26A00"/>
                <w:sz w:val="20"/>
                <w:szCs w:val="20"/>
              </w:rPr>
              <w:t xml:space="preserve">Media</w:t>
            </w:r>
          </w:p>
        </w:tc>
        <w:tc>
          <w:tcPr>
            <w:tcW w:type="dxa" w:w="43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La cédula viajaba en la URL en las lecturas/escrituras (GET/PUT/DELETE /employees/:id) → quedaba en access logs y proxies.</w:t>
            </w:r>
          </w:p>
        </w:tc>
        <w:tc>
          <w:tcPr>
            <w:tcW w:type="dxa" w:w="30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2E7D32"/>
                <w:sz w:val="20"/>
                <w:szCs w:val="20"/>
              </w:rPr>
              <w:t xml:space="preserve">Corregido — todas las operaciones por POST con la cédula en el body (Farmatodo P2C)</w:t>
            </w:r>
          </w:p>
        </w:tc>
      </w:tr>
      <w:tr>
        <w:tc>
          <w:tcPr>
            <w:tcW w:type="dxa" w:w="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6</w:t>
            </w:r>
          </w:p>
        </w:tc>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777700"/>
                <w:sz w:val="20"/>
                <w:szCs w:val="20"/>
              </w:rPr>
              <w:t xml:space="preserve">Baja</w:t>
            </w:r>
          </w:p>
        </w:tc>
        <w:tc>
          <w:tcPr>
            <w:tcW w:type="dxa" w:w="43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Comparación de client_secret no era de tiempo constante (timing).</w:t>
            </w:r>
          </w:p>
        </w:tc>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2E7D32"/>
                <w:sz w:val="20"/>
                <w:szCs w:val="20"/>
              </w:rPr>
              <w:t xml:space="preserve">Corregido — crypto.timingSafeEqual</w:t>
            </w:r>
          </w:p>
        </w:tc>
      </w:tr>
      <w:tr>
        <w:tc>
          <w:tcPr>
            <w:tcW w:type="dxa" w:w="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1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777700"/>
                <w:sz w:val="20"/>
                <w:szCs w:val="20"/>
              </w:rPr>
              <w:t xml:space="preserve">Baja</w:t>
            </w:r>
          </w:p>
        </w:tc>
        <w:tc>
          <w:tcPr>
            <w:tcW w:type="dxa" w:w="43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El filtro de errores reemplazaba mensajes específicos (404/403/422 con O_MESSAGE del PKG) por la etiqueta genérica.</w:t>
            </w:r>
          </w:p>
        </w:tc>
        <w:tc>
          <w:tcPr>
            <w:tcW w:type="dxa" w:w="30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2E7D32"/>
                <w:sz w:val="20"/>
                <w:szCs w:val="20"/>
              </w:rPr>
              <w:t xml:space="preserve">Corregido — preserva el mensaje específico</w:t>
            </w:r>
          </w:p>
        </w:tc>
      </w:tr>
    </w:tbl>
    <w:p>
      <w:pPr>
        <w:pStyle w:val="Heading1"/>
        <w:spacing w:after="140" w:before="280"/>
      </w:pPr>
      <w:r>
        <w:rPr>
          <w:rFonts w:ascii="Arial" w:cs="Arial" w:eastAsia="Arial" w:hAnsi="Arial"/>
          <w:b/>
          <w:bCs/>
          <w:color w:val="002858"/>
          <w:sz w:val="28"/>
          <w:szCs w:val="28"/>
        </w:rPr>
        <w:t xml:space="preserve">4. Controles de seguridad implementados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0B0B0" w:sz="1"/>
              <w:left w:val="single" w:color="B0B0B0" w:sz="1"/>
              <w:bottom w:val="single" w:color="B0B0B0" w:sz="1"/>
              <w:right w:val="single" w:color="B0B0B0" w:sz="1"/>
            </w:tcBorders>
            <w:shd w:fill="002858"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460"/>
            <w:tcBorders>
              <w:top w:val="single" w:color="B0B0B0" w:sz="1"/>
              <w:left w:val="single" w:color="B0B0B0" w:sz="1"/>
              <w:bottom w:val="single" w:color="B0B0B0" w:sz="1"/>
              <w:right w:val="single" w:color="B0B0B0" w:sz="1"/>
            </w:tcBorders>
            <w:shd w:fill="002858" w:val="clear"/>
            <w:tcMar>
              <w:top w:type="dxa" w:w="80"/>
              <w:left w:type="dxa" w:w="120"/>
              <w:bottom w:type="dxa" w:w="80"/>
              <w:right w:type="dxa" w:w="120"/>
            </w:tcMar>
          </w:tcPr>
          <w:p>
            <w:r>
              <w:rPr>
                <w:rFonts w:ascii="Arial" w:cs="Arial" w:eastAsia="Arial" w:hAnsi="Arial"/>
                <w:b/>
                <w:bCs/>
                <w:color w:val="FFFFFF"/>
                <w:sz w:val="20"/>
                <w:szCs w:val="20"/>
              </w:rPr>
              <w:t xml:space="preserve">Implementación</w:t>
            </w:r>
          </w:p>
        </w:tc>
      </w:tr>
      <w:tr>
        <w:tc>
          <w:tcPr>
            <w:tcW w:type="dxa" w:w="29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Autenticación</w:t>
            </w:r>
          </w:p>
        </w:tc>
        <w:tc>
          <w:tcPr>
            <w:tcW w:type="dxa" w:w="64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JWT RS256, algoritmo fijado (rechaza alg:none/HS256), TTL 12h; llaves en Secret Manager</w:t>
            </w:r>
          </w:p>
        </w:tc>
      </w:tr>
      <w:tr>
        <w:tc>
          <w:tcPr>
            <w:tcW w:type="dxa" w:w="29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Autorización por país</w:t>
            </w:r>
          </w:p>
        </w:tc>
        <w:tc>
          <w:tcPr>
            <w:tcW w:type="dxa" w:w="64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Guard (post-auth) valida claim countries vs X-Country-Code → 403</w:t>
            </w:r>
          </w:p>
        </w:tc>
      </w:tr>
      <w:tr>
        <w:tc>
          <w:tcPr>
            <w:tcW w:type="dxa" w:w="29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Cédula fuera de la URL</w:t>
            </w:r>
          </w:p>
        </w:tc>
        <w:tc>
          <w:tcPr>
            <w:tcW w:type="dxa" w:w="64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Todas las operaciones por POST con el identificador en el body (no en la URL → no en logs)</w:t>
            </w:r>
          </w:p>
        </w:tc>
      </w:tr>
      <w:tr>
        <w:tc>
          <w:tcPr>
            <w:tcW w:type="dxa" w:w="29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Orden de guards</w:t>
            </w:r>
          </w:p>
        </w:tc>
        <w:tc>
          <w:tcPr>
            <w:tcW w:type="dxa" w:w="64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rate-limit → autenticación → país; no-autenticado recibe 401 antes de cualquier chequeo</w:t>
            </w:r>
          </w:p>
        </w:tc>
      </w:tr>
      <w:tr>
        <w:tc>
          <w:tcPr>
            <w:tcW w:type="dxa" w:w="29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Cifrado en tránsito</w:t>
            </w:r>
          </w:p>
        </w:tc>
        <w:tc>
          <w:tcPr>
            <w:tcW w:type="dxa" w:w="64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TLS terminado en Cloud Run + HSTS (helmet); el servicio siempre va detrás de TLS</w:t>
            </w:r>
          </w:p>
        </w:tc>
      </w:tr>
      <w:tr>
        <w:tc>
          <w:tcPr>
            <w:tcW w:type="dxa" w:w="29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Cifrado de payload (P2C)</w:t>
            </w:r>
          </w:p>
        </w:tc>
        <w:tc>
          <w:tcPr>
            <w:tcW w:type="dxa" w:w="64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CryptoJS.AES (crypto-js): RequestJson / ResponseJson con passphrase compartida</w:t>
            </w:r>
          </w:p>
        </w:tc>
      </w:tr>
      <w:tr>
        <w:tc>
          <w:tcPr>
            <w:tcW w:type="dxa" w:w="29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Rate limiting</w:t>
            </w:r>
          </w:p>
        </w:tc>
        <w:tc>
          <w:tcPr>
            <w:tcW w:type="dxa" w:w="64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@nestjs/throttler: 60 req/min global, 10 req/min en /auth/token</w:t>
            </w:r>
          </w:p>
        </w:tc>
      </w:tr>
      <w:tr>
        <w:tc>
          <w:tcPr>
            <w:tcW w:type="dxa" w:w="29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CORS</w:t>
            </w:r>
          </w:p>
        </w:tc>
        <w:tc>
          <w:tcPr>
            <w:tcW w:type="dxa" w:w="64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Allowlist por CORS_ORIGINS, credentials true</w:t>
            </w:r>
          </w:p>
        </w:tc>
      </w:tr>
      <w:tr>
        <w:tc>
          <w:tcPr>
            <w:tcW w:type="dxa" w:w="29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Cabeceras</w:t>
            </w:r>
          </w:p>
        </w:tc>
        <w:tc>
          <w:tcPr>
            <w:tcW w:type="dxa" w:w="64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helmet (HSTS, X-Content-Type-Options, X-Frame-Options, etc.)</w:t>
            </w:r>
          </w:p>
        </w:tc>
      </w:tr>
      <w:tr>
        <w:tc>
          <w:tcPr>
            <w:tcW w:type="dxa" w:w="29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Credenciales de cliente</w:t>
            </w:r>
          </w:p>
        </w:tc>
        <w:tc>
          <w:tcPr>
            <w:tcW w:type="dxa" w:w="64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Hash SHA-256 + comparación en tiempo constante (timingSafeEqual)</w:t>
            </w:r>
          </w:p>
        </w:tc>
      </w:tr>
      <w:tr>
        <w:tc>
          <w:tcPr>
            <w:tcW w:type="dxa" w:w="29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Superficie</w:t>
            </w:r>
          </w:p>
        </w:tc>
        <w:tc>
          <w:tcPr>
            <w:tcW w:type="dxa" w:w="64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Swagger /docs deshabilitado en producción</w:t>
            </w:r>
          </w:p>
        </w:tc>
      </w:tr>
      <w:tr>
        <w:tc>
          <w:tcPr>
            <w:tcW w:type="dxa" w:w="29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Validación / mass-assignment</w:t>
            </w:r>
          </w:p>
        </w:tc>
        <w:tc>
          <w:tcPr>
            <w:tcW w:type="dxa" w:w="64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class-validator con whitelist + forbidNonWhitelisted</w:t>
            </w:r>
          </w:p>
        </w:tc>
      </w:tr>
      <w:tr>
        <w:tc>
          <w:tcPr>
            <w:tcW w:type="dxa" w:w="29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SQL injection</w:t>
            </w:r>
          </w:p>
        </w:tc>
        <w:tc>
          <w:tcPr>
            <w:tcW w:type="dxa" w:w="64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PKG parametriza con JSON_TABLE; el API nunca concatena SQL</w:t>
            </w:r>
          </w:p>
        </w:tc>
      </w:tr>
      <w:tr>
        <w:tc>
          <w:tcPr>
            <w:tcW w:type="dxa" w:w="29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Fuga en errores</w:t>
            </w:r>
          </w:p>
        </w:tc>
        <w:tc>
          <w:tcPr>
            <w:tcW w:type="dxa" w:w="64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500 genérico sin filtrar detalle interno de Oracle (ORA-xxxx solo en logs)</w:t>
            </w:r>
          </w:p>
        </w:tc>
      </w:tr>
    </w:tbl>
    <w:p>
      <w:pPr>
        <w:pStyle w:val="Heading1"/>
        <w:spacing w:after="140" w:before="280"/>
      </w:pPr>
      <w:r>
        <w:rPr>
          <w:rFonts w:ascii="Arial" w:cs="Arial" w:eastAsia="Arial" w:hAnsi="Arial"/>
          <w:b/>
          <w:bCs/>
          <w:color w:val="002858"/>
          <w:sz w:val="28"/>
          <w:szCs w:val="28"/>
        </w:rPr>
        <w:t xml:space="preserve">5. Cifrado de payload (P2C) — crypto-js</w:t>
      </w:r>
    </w:p>
    <w:p>
      <w:pPr>
        <w:spacing w:after="120"/>
      </w:pPr>
      <w:r>
        <w:rPr>
          <w:rFonts w:ascii="Arial" w:cs="Arial" w:eastAsia="Arial" w:hAnsi="Arial"/>
          <w:sz w:val="22"/>
          <w:szCs w:val="22"/>
        </w:rPr>
        <w:t xml:space="preserve">Se implementó el estándar de cifrado front↔back de Farmatodo usando la librería crypto-js (la misma del portal), esquema CryptoJS.AES (formato OpenSSL "Salted__", AES-CBC con KDF por passphrase).</w:t>
      </w:r>
    </w:p>
    <w:p>
      <w:pPr>
        <w:pStyle w:val="ListParagraph"/>
        <w:numPr>
          <w:ilvl w:val="0"/>
          <w:numId w:val="2"/>
        </w:numPr>
        <w:spacing w:after="80"/>
      </w:pPr>
      <w:r>
        <w:rPr>
          <w:rFonts w:ascii="Arial" w:cs="Arial" w:eastAsia="Arial" w:hAnsi="Arial"/>
          <w:sz w:val="22"/>
          <w:szCs w:val="22"/>
        </w:rPr>
        <w:t xml:space="preserve">Request: el front envía el campo RequestJson = CryptoJS.AES.encrypt(JSON.stringify(data), KEY). Un interceptor lo descifra ANTES de la validación; los DTOs operan sobre el JSON en claro.</w:t>
      </w:r>
    </w:p>
    <w:p>
      <w:pPr>
        <w:pStyle w:val="ListParagraph"/>
        <w:numPr>
          <w:ilvl w:val="0"/>
          <w:numId w:val="2"/>
        </w:numPr>
        <w:spacing w:after="80"/>
      </w:pPr>
      <w:r>
        <w:rPr>
          <w:rFonts w:ascii="Arial" w:cs="Arial" w:eastAsia="Arial" w:hAnsi="Arial"/>
          <w:sz w:val="22"/>
          <w:szCs w:val="22"/>
        </w:rPr>
        <w:t xml:space="preserve">Response: cuando el request llegó cifrado, la respuesta se devuelve como ResponseJson cifrado con la misma passphrase.</w:t>
      </w:r>
    </w:p>
    <w:p>
      <w:pPr>
        <w:pStyle w:val="ListParagraph"/>
        <w:numPr>
          <w:ilvl w:val="0"/>
          <w:numId w:val="2"/>
        </w:numPr>
        <w:spacing w:after="80"/>
      </w:pPr>
      <w:r>
        <w:rPr>
          <w:rFonts w:ascii="Arial" w:cs="Arial" w:eastAsia="Arial" w:hAnsi="Arial"/>
          <w:sz w:val="22"/>
          <w:szCs w:val="22"/>
        </w:rPr>
        <w:t xml:space="preserve">Llave: passphrase compartida en PAYLOAD_ENCRYPTION_KEY (Secret Manager). Vacía = deshabilitado. Payload cifrado inválido → 400.</w:t>
      </w:r>
    </w:p>
    <w:p>
      <w:pPr>
        <w:pStyle w:val="ListParagraph"/>
        <w:numPr>
          <w:ilvl w:val="0"/>
          <w:numId w:val="2"/>
        </w:numPr>
        <w:spacing w:after="80"/>
      </w:pPr>
      <w:r>
        <w:rPr>
          <w:rFonts w:ascii="Arial" w:cs="Arial" w:eastAsia="Arial" w:hAnsi="Arial"/>
          <w:sz w:val="22"/>
          <w:szCs w:val="22"/>
        </w:rPr>
        <w:t xml:space="preserve">Compatibilidad verificada: crypto-js en el backend descifra exactamente lo que produce CryptoJS en el front (mismo prefijo Salted__).</w:t>
      </w:r>
    </w:p>
    <w:p>
      <w:pPr>
        <w:pStyle w:val="Heading1"/>
        <w:spacing w:after="140" w:before="280"/>
      </w:pPr>
      <w:r>
        <w:rPr>
          <w:rFonts w:ascii="Arial" w:cs="Arial" w:eastAsia="Arial" w:hAnsi="Arial"/>
          <w:b/>
          <w:bCs/>
          <w:color w:val="002858"/>
          <w:sz w:val="28"/>
          <w:szCs w:val="28"/>
        </w:rPr>
        <w:t xml:space="preserve">6. Riesgos residuales</w:t>
      </w:r>
    </w:p>
    <w:p>
      <w:pPr>
        <w:spacing w:after="120"/>
      </w:pPr>
      <w:r>
        <w:rPr>
          <w:rFonts w:ascii="Arial" w:cs="Arial" w:eastAsia="Arial" w:hAnsi="Arial"/>
          <w:sz w:val="22"/>
          <w:szCs w:val="22"/>
        </w:rPr>
        <w:t xml:space="preserve">No quedan riesgos residuales abiertos de esta revisión. El hallazgo #5 (enumeración de países pre-autenticación) fue corregido: la validación de país se movió de middleware a un guard que corre DESPUÉS de la autenticación, por lo que un llamante no autenticado recibe 401 antes de cualquier chequeo de país (verificado en runtime). Se mantienen como buenas prácticas continuas las recomendaciones de la sección 8 (rotación de llaves, TDE, despliegue siempre detrás de TLS).</w:t>
      </w:r>
    </w:p>
    <w:p>
      <w:pPr>
        <w:pStyle w:val="Heading1"/>
        <w:spacing w:after="140" w:before="280"/>
      </w:pPr>
      <w:r>
        <w:rPr>
          <w:rFonts w:ascii="Arial" w:cs="Arial" w:eastAsia="Arial" w:hAnsi="Arial"/>
          <w:b/>
          <w:bCs/>
          <w:color w:val="002858"/>
          <w:sz w:val="28"/>
          <w:szCs w:val="28"/>
        </w:rPr>
        <w:t xml:space="preserve">7. Evidencia de verificación</w:t>
      </w:r>
    </w:p>
    <w:p>
      <w:pPr>
        <w:spacing w:after="120"/>
      </w:pPr>
      <w:r>
        <w:rPr>
          <w:rFonts w:ascii="Arial" w:cs="Arial" w:eastAsia="Arial" w:hAnsi="Arial"/>
          <w:sz w:val="22"/>
          <w:szCs w:val="22"/>
        </w:rPr>
        <w:t xml:space="preserve">Verificado en runtime y por pruebas automatizadas:</w:t>
      </w:r>
    </w:p>
    <w:p>
      <w:pPr>
        <w:shd w:fill="1E1E2E" w:val="clear"/>
        <w:spacing w:after="0"/>
        <w:ind w:left="160"/>
      </w:pPr>
      <w:r>
        <w:rPr>
          <w:rFonts w:ascii="Consolas" w:cs="Consolas" w:eastAsia="Consolas" w:hAnsi="Consolas"/>
          <w:color w:val="D8F0D8"/>
          <w:sz w:val="17"/>
          <w:szCs w:val="17"/>
        </w:rPr>
        <w:t xml:space="preserve"># Cabeceras de seguridad (helmet)</w:t>
      </w:r>
    </w:p>
    <w:p>
      <w:pPr>
        <w:shd w:fill="1E1E2E" w:val="clear"/>
        <w:spacing w:after="0"/>
        <w:ind w:left="160"/>
      </w:pPr>
      <w:r>
        <w:rPr>
          <w:rFonts w:ascii="Consolas" w:cs="Consolas" w:eastAsia="Consolas" w:hAnsi="Consolas"/>
          <w:color w:val="D8F0D8"/>
          <w:sz w:val="17"/>
          <w:szCs w:val="17"/>
        </w:rPr>
        <w:t xml:space="preserve">Strict-Transport-Security: max-age=31536000; includeSubDomains; preload</w:t>
      </w:r>
    </w:p>
    <w:p>
      <w:pPr>
        <w:shd w:fill="1E1E2E" w:val="clear"/>
        <w:spacing w:after="0"/>
        <w:ind w:left="160"/>
      </w:pPr>
      <w:r>
        <w:rPr>
          <w:rFonts w:ascii="Consolas" w:cs="Consolas" w:eastAsia="Consolas" w:hAnsi="Consolas"/>
          <w:color w:val="D8F0D8"/>
          <w:sz w:val="17"/>
          <w:szCs w:val="17"/>
        </w:rPr>
        <w:t xml:space="preserve">X-Content-Type-Options: nosniff   X-Frame-Options: SAMEORIGIN</w:t>
      </w:r>
    </w:p>
    <w:p>
      <w:pPr>
        <w:shd w:fill="1E1E2E" w:val="clear"/>
        <w:spacing w:after="0"/>
        <w:ind w:left="160"/>
      </w:pPr>
      <w:r>
        <w:rPr>
          <w:rFonts w:ascii="Consolas" w:cs="Consolas" w:eastAsia="Consolas" w:hAnsi="Consolas"/>
          <w:color w:val="D8F0D8"/>
          <w:sz w:val="17"/>
          <w:szCs w:val="17"/>
        </w:rPr>
        <w:t xml:space="preserve"> </w:t>
      </w:r>
    </w:p>
    <w:p>
      <w:pPr>
        <w:shd w:fill="1E1E2E" w:val="clear"/>
        <w:spacing w:after="0"/>
        <w:ind w:left="160"/>
      </w:pPr>
      <w:r>
        <w:rPr>
          <w:rFonts w:ascii="Consolas" w:cs="Consolas" w:eastAsia="Consolas" w:hAnsi="Consolas"/>
          <w:color w:val="D8F0D8"/>
          <w:sz w:val="17"/>
          <w:szCs w:val="17"/>
        </w:rPr>
        <w:t xml:space="preserve"># Rate limit en /auth/token (limite 10/min)</w:t>
      </w:r>
    </w:p>
    <w:p>
      <w:pPr>
        <w:shd w:fill="1E1E2E" w:val="clear"/>
        <w:spacing w:after="0"/>
        <w:ind w:left="160"/>
      </w:pPr>
      <w:r>
        <w:rPr>
          <w:rFonts w:ascii="Consolas" w:cs="Consolas" w:eastAsia="Consolas" w:hAnsi="Consolas"/>
          <w:color w:val="D8F0D8"/>
          <w:sz w:val="17"/>
          <w:szCs w:val="17"/>
        </w:rPr>
        <w:t xml:space="preserve">401 401 401 401 401 401 401 401 401 401 429 429</w:t>
      </w:r>
    </w:p>
    <w:p>
      <w:pPr>
        <w:shd w:fill="1E1E2E" w:val="clear"/>
        <w:spacing w:after="0"/>
        <w:ind w:left="160"/>
      </w:pPr>
      <w:r>
        <w:rPr>
          <w:rFonts w:ascii="Consolas" w:cs="Consolas" w:eastAsia="Consolas" w:hAnsi="Consolas"/>
          <w:color w:val="D8F0D8"/>
          <w:sz w:val="17"/>
          <w:szCs w:val="17"/>
        </w:rPr>
        <w:t xml:space="preserve"> </w:t>
      </w:r>
    </w:p>
    <w:p>
      <w:pPr>
        <w:shd w:fill="1E1E2E" w:val="clear"/>
        <w:spacing w:after="0"/>
        <w:ind w:left="160"/>
      </w:pPr>
      <w:r>
        <w:rPr>
          <w:rFonts w:ascii="Consolas" w:cs="Consolas" w:eastAsia="Consolas" w:hAnsi="Consolas"/>
          <w:color w:val="D8F0D8"/>
          <w:sz w:val="17"/>
          <w:szCs w:val="17"/>
        </w:rPr>
        <w:t xml:space="preserve"># Autorizacion por pais: token CO pidiendo VE -&gt; 403</w:t>
      </w:r>
    </w:p>
    <w:p>
      <w:pPr>
        <w:shd w:fill="1E1E2E" w:val="clear"/>
        <w:spacing w:after="0"/>
        <w:ind w:left="160"/>
      </w:pPr>
      <w:r>
        <w:rPr>
          <w:rFonts w:ascii="Consolas" w:cs="Consolas" w:eastAsia="Consolas" w:hAnsi="Consolas"/>
          <w:color w:val="D8F0D8"/>
          <w:sz w:val="17"/>
          <w:szCs w:val="17"/>
        </w:rPr>
        <w:t xml:space="preserve"># Payload cifrado: POST RequestJson -&gt; 201 { "ResponseJson": "U2FsdGVkX1+..." }</w:t>
      </w:r>
    </w:p>
    <w:p>
      <w:pPr>
        <w:shd w:fill="1E1E2E" w:val="clear"/>
        <w:spacing w:after="0"/>
        <w:ind w:left="160"/>
      </w:pPr>
      <w:r>
        <w:rPr>
          <w:rFonts w:ascii="Consolas" w:cs="Consolas" w:eastAsia="Consolas" w:hAnsi="Consolas"/>
          <w:color w:val="D8F0D8"/>
          <w:sz w:val="17"/>
          <w:szCs w:val="17"/>
        </w:rPr>
        <w:t xml:space="preserve">#   descifrado -&gt; {"idNumber":"77777777","message":"TRANSACCION EXITOSA"}</w:t>
      </w:r>
    </w:p>
    <w:p>
      <w:pPr>
        <w:shd w:fill="1E1E2E" w:val="clear"/>
        <w:spacing w:after="0"/>
        <w:ind w:left="160"/>
      </w:pPr>
      <w:r>
        <w:rPr>
          <w:rFonts w:ascii="Consolas" w:cs="Consolas" w:eastAsia="Consolas" w:hAnsi="Consolas"/>
          <w:color w:val="D8F0D8"/>
          <w:sz w:val="17"/>
          <w:szCs w:val="17"/>
        </w:rPr>
        <w:t xml:space="preserve"># Cipher invalido -&gt; 400</w:t>
      </w:r>
    </w:p>
    <w:p>
      <w:pPr>
        <w:shd w:fill="1E1E2E" w:val="clear"/>
        <w:spacing w:after="0"/>
        <w:ind w:left="160"/>
      </w:pPr>
      <w:r>
        <w:rPr>
          <w:rFonts w:ascii="Consolas" w:cs="Consolas" w:eastAsia="Consolas" w:hAnsi="Consolas"/>
          <w:color w:val="D8F0D8"/>
          <w:sz w:val="17"/>
          <w:szCs w:val="17"/>
        </w:rPr>
        <w:t xml:space="preserve"> </w:t>
      </w:r>
    </w:p>
    <w:p>
      <w:pPr>
        <w:shd w:fill="1E1E2E" w:val="clear"/>
        <w:spacing w:after="0"/>
        <w:ind w:left="160"/>
      </w:pPr>
      <w:r>
        <w:rPr>
          <w:rFonts w:ascii="Consolas" w:cs="Consolas" w:eastAsia="Consolas" w:hAnsi="Consolas"/>
          <w:color w:val="D8F0D8"/>
          <w:sz w:val="17"/>
          <w:szCs w:val="17"/>
        </w:rPr>
        <w:t xml:space="preserve"># Fix #5 (orden de guards): sin token, cualquier pais -&gt; 401 (ya no enumera)</w:t>
      </w:r>
    </w:p>
    <w:p>
      <w:pPr>
        <w:shd w:fill="1E1E2E" w:val="clear"/>
        <w:spacing w:after="0"/>
        <w:ind w:left="160"/>
      </w:pPr>
      <w:r>
        <w:rPr>
          <w:rFonts w:ascii="Consolas" w:cs="Consolas" w:eastAsia="Consolas" w:hAnsi="Consolas"/>
          <w:color w:val="D8F0D8"/>
          <w:sz w:val="17"/>
          <w:szCs w:val="17"/>
        </w:rPr>
        <w:t xml:space="preserve">sin token + VE -&gt; 401   sin token + AR -&gt; 401   sin token + sin header -&gt; 401</w:t>
      </w:r>
    </w:p>
    <w:p>
      <w:pPr>
        <w:spacing w:after="120"/>
      </w:pPr>
      <w:r>
        <w:rPr>
          <w:rFonts w:ascii="Arial" w:cs="Arial" w:eastAsia="Arial" w:hAnsi="Arial"/>
          <w:sz w:val="22"/>
          <w:szCs w:val="22"/>
        </w:rPr>
        <w:t xml:space="preserve">Cobertura de pruebas: 79 unitarias + 15 e2e verdes; cobertura de líneas ~98%, ramas ~86% (supera el quality gate de SonarQube ≥80%).</w:t>
      </w:r>
    </w:p>
    <w:p>
      <w:pPr>
        <w:pStyle w:val="Heading1"/>
        <w:spacing w:after="140" w:before="280"/>
      </w:pPr>
      <w:r>
        <w:rPr>
          <w:rFonts w:ascii="Arial" w:cs="Arial" w:eastAsia="Arial" w:hAnsi="Arial"/>
          <w:b/>
          <w:bCs/>
          <w:color w:val="002858"/>
          <w:sz w:val="28"/>
          <w:szCs w:val="28"/>
        </w:rPr>
        <w:t xml:space="preserve">8. Recomendaciones</w:t>
      </w:r>
    </w:p>
    <w:p>
      <w:pPr>
        <w:pStyle w:val="ListParagraph"/>
        <w:numPr>
          <w:ilvl w:val="0"/>
          <w:numId w:val="2"/>
        </w:numPr>
        <w:spacing w:after="80"/>
      </w:pPr>
      <w:r>
        <w:rPr>
          <w:rFonts w:ascii="Arial" w:cs="Arial" w:eastAsia="Arial" w:hAnsi="Arial"/>
          <w:sz w:val="22"/>
          <w:szCs w:val="22"/>
        </w:rPr>
        <w:t xml:space="preserve">Mantener la disciplina de que ninguna operación con cédula use verbo con id en la URL (todo por POST con body).</w:t>
      </w:r>
    </w:p>
    <w:p>
      <w:pPr>
        <w:pStyle w:val="ListParagraph"/>
        <w:numPr>
          <w:ilvl w:val="0"/>
          <w:numId w:val="2"/>
        </w:numPr>
        <w:spacing w:after="80"/>
      </w:pPr>
      <w:r>
        <w:rPr>
          <w:rFonts w:ascii="Arial" w:cs="Arial" w:eastAsia="Arial" w:hAnsi="Arial"/>
          <w:sz w:val="22"/>
          <w:szCs w:val="22"/>
        </w:rPr>
        <w:t xml:space="preserve">Rotación periódica de llaves: par RSA del JWT y passphrase de payload (PAYLOAD_ENCRYPTION_KEY) en Secret Manager.</w:t>
      </w:r>
    </w:p>
    <w:p>
      <w:pPr>
        <w:pStyle w:val="ListParagraph"/>
        <w:numPr>
          <w:ilvl w:val="0"/>
          <w:numId w:val="2"/>
        </w:numPr>
        <w:spacing w:after="80"/>
      </w:pPr>
      <w:r>
        <w:rPr>
          <w:rFonts w:ascii="Arial" w:cs="Arial" w:eastAsia="Arial" w:hAnsi="Arial"/>
          <w:sz w:val="22"/>
          <w:szCs w:val="22"/>
        </w:rPr>
        <w:t xml:space="preserve">Confirmar TDE (cifrado en reposo) en la BD Oracle espejo con el DBA.</w:t>
      </w:r>
    </w:p>
    <w:p>
      <w:pPr>
        <w:pStyle w:val="ListParagraph"/>
        <w:numPr>
          <w:ilvl w:val="0"/>
          <w:numId w:val="2"/>
        </w:numPr>
        <w:spacing w:after="80"/>
      </w:pPr>
      <w:r>
        <w:rPr>
          <w:rFonts w:ascii="Arial" w:cs="Arial" w:eastAsia="Arial" w:hAnsi="Arial"/>
          <w:sz w:val="22"/>
          <w:szCs w:val="22"/>
        </w:rPr>
        <w:t xml:space="preserve">Asegurar que el servicio nunca se exponga sin TLS (solo detrás de Cloud Run / balanceador con HTTPS).</w:t>
      </w:r>
    </w:p>
    <w:p>
      <w:pPr>
        <w:pStyle w:val="ListParagraph"/>
        <w:numPr>
          <w:ilvl w:val="0"/>
          <w:numId w:val="2"/>
        </w:numPr>
        <w:spacing w:after="80"/>
      </w:pPr>
      <w:r>
        <w:rPr>
          <w:rFonts w:ascii="Arial" w:cs="Arial" w:eastAsia="Arial" w:hAnsi="Arial"/>
          <w:sz w:val="22"/>
          <w:szCs w:val="22"/>
        </w:rPr>
        <w:t xml:space="preserve">Evaluar acortar el TTL del token o añadir revocación si el modelo de amenaza lo requiere (hoy 12h por premisa).</w:t>
      </w:r>
    </w:p>
    <w:p>
      <w:pPr>
        <w:pStyle w:val="Heading1"/>
        <w:spacing w:after="140" w:before="280"/>
      </w:pPr>
      <w:r>
        <w:rPr>
          <w:rFonts w:ascii="Arial" w:cs="Arial" w:eastAsia="Arial" w:hAnsi="Arial"/>
          <w:b/>
          <w:bCs/>
          <w:color w:val="002858"/>
          <w:sz w:val="28"/>
          <w:szCs w:val="28"/>
        </w:rPr>
        <w:t xml:space="preserve">9. Conclusión</w:t>
      </w:r>
    </w:p>
    <w:p>
      <w:pPr>
        <w:spacing w:after="120"/>
      </w:pPr>
      <w:r>
        <w:rPr>
          <w:rFonts w:ascii="Arial" w:cs="Arial" w:eastAsia="Arial" w:hAnsi="Arial"/>
          <w:sz w:val="22"/>
          <w:szCs w:val="22"/>
        </w:rPr>
        <w:t xml:space="preserve">El FTD SPI Employee API implementa los controles de seguridad esperados para el manejo de PII de empleados. Los 8 hallazgos fueron corregidos y verificados; el requisito P2C de cifrado de payload quedó implementado con crypto-js y probado extremo a extremo, y la cédula ya no viaja en la URL en ninguna operación. No quedan riesgos residuales abiertos. Se recomienda mantener la disciplina de rotación de llaves, TDE en reposo y despliegue siempre detrás de TLS.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Confidencial · 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Farmatodo Digital — Revisión de Seguridad · FTD SPI Employee API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02858"/>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00285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2026-07-03T20:35:29.949Z</dcterms:created>
  <dcterms:modified xsi:type="dcterms:W3CDTF">2026-07-03T20:35:29.949Z</dcterms:modified>
</cp:coreProperties>
</file>

<file path=docProps/custom.xml><?xml version="1.0" encoding="utf-8"?>
<Properties xmlns="http://schemas.openxmlformats.org/officeDocument/2006/custom-properties" xmlns:vt="http://schemas.openxmlformats.org/officeDocument/2006/docPropsVTypes"/>
</file>