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 Product and Engineering Design</w:t>
      </w:r>
    </w:p>
    <w:p>
      <w:pPr>
        <w:pStyle w:val="Subtitle"/>
      </w:pPr>
      <w:r>
        <w:t>Industry-Specific Lead-to-Order Agent | Developer implementation specification</w:t>
      </w:r>
    </w:p>
    <w:p>
      <w:r>
        <w:t>Brilliant Brains | Experiment 5  |  20 October 2026  |  1.0 - Approval Candidate</w:t>
      </w:r>
    </w:p>
    <w:p>
      <w:r>
        <w:t>DECISION STATUS: Proposed technical/commercial specification; no build, deployment or customer commitment is implied.</w:t>
      </w:r>
    </w:p>
    <w:p>
      <w:pPr>
        <w:pStyle w:val="Heading1"/>
      </w:pPr>
      <w:r>
        <w:t>1. What the product builds and why</w:t>
      </w:r>
    </w:p>
    <w:p>
      <w:r>
        <w:t>A configurable, multi-tenant application for small and mid-sized UK service operators to convert incoming customer enquiries into structured sales cases, qualified requirements, an indicative or approved quotation, an appointment or handover, and a CRM record. Enquiries may originate from a website form or an opted-in WhatsApp Business conversation. The application does not promise autonomous sales or immediate pricing for every sector. It reduces lost enquiries, slow responses, missing requirements and repetitive data entry while keeping prices, outbound messages and bookings behind explicit business rules and human controls.</w:t>
      </w:r>
    </w:p>
    <w:p>
      <w:pPr>
        <w:pStyle w:val="Heading1"/>
      </w:pPr>
      <w:r>
        <w:t>2. MVP boundary and selected initial vertical</w:t>
      </w:r>
    </w:p>
    <w:p>
      <w:r>
        <w:t>Build one reference vertical, recommended pilot: facilities or field-service providers offering inspection, maintenance and small quoted jobs. Configure services, territories, opening hours and qualification questions. MVP: website lead form; optional inbound WhatsApp integration after approved provider setup; case list; qualification; AI-assisted classification; rule-based indicative pricing; staff quote approval; manual/approved send; CRM CSV export or one approved CRM connector; activity log; admin settings; synthetic demo tenant. Exclude payments, inbound telephony, fully autonomous final quotes, direct ERP writeback, marketing blasts, and live multi-sector optimisation.</w:t>
      </w:r>
    </w:p>
    <w:p>
      <w:pPr>
        <w:pStyle w:val="Heading1"/>
      </w:pPr>
      <w:r>
        <w:t>3. Roles and journeys</w:t>
      </w:r>
    </w:p>
    <w:p>
      <w:r>
        <w:t>Visitor -&gt; submit enquiry -&gt; consent and privacy notice -&gt; receive acknowledgement if authorised. Agent -&gt; classify need, request missing structured fields via authorised channel, suggest service and urgency. Staff -&gt; review facts, quote breakdown, eligibility and exclusions -&gt; approve/revise/reject -&gt; send through approved channel. Customer -&gt; accept/reject quote or request clarification. Staff -&gt; confirm appointment in authorised calendar or CRM; case is resolved, escalated or closed. Tenant admin -&gt; configure service catalogues, workflow questions, role permissions, message templates, budgets and rules; platform admin -&gt; audit cross-tenant operations without reading tenant content by default.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Journey</w:t>
            </w:r>
          </w:p>
        </w:tc>
        <w:tc>
          <w:tcPr>
            <w:tcW w:type="dxa" w:w="2880"/>
          </w:tcPr>
          <w:p>
            <w:r>
              <w:t>Trigger</w:t>
            </w:r>
          </w:p>
        </w:tc>
        <w:tc>
          <w:tcPr>
            <w:tcW w:type="dxa" w:w="2880"/>
          </w:tcPr>
          <w:p>
            <w:r>
              <w:t>Acceptance</w:t>
            </w:r>
          </w:p>
        </w:tc>
      </w:tr>
      <w:tr>
        <w:tc>
          <w:tcPr>
            <w:tcW w:type="dxa" w:w="2880"/>
          </w:tcPr>
          <w:p>
            <w:r>
              <w:t>J1 Lead capture</w:t>
            </w:r>
          </w:p>
        </w:tc>
        <w:tc>
          <w:tcPr>
            <w:tcW w:type="dxa" w:w="2880"/>
          </w:tcPr>
          <w:p>
            <w:r>
              <w:t>POST form or validated inbound webhook</w:t>
            </w:r>
          </w:p>
        </w:tc>
        <w:tc>
          <w:tcPr>
            <w:tcW w:type="dxa" w:w="2880"/>
          </w:tcPr>
          <w:p>
            <w:r>
              <w:t>One lead ID; duplicate retries do not duplicate cases</w:t>
            </w:r>
          </w:p>
        </w:tc>
      </w:tr>
      <w:tr>
        <w:tc>
          <w:tcPr>
            <w:tcW w:type="dxa" w:w="2880"/>
          </w:tcPr>
          <w:p>
            <w:r>
              <w:t>J2 Qualification</w:t>
            </w:r>
          </w:p>
        </w:tc>
        <w:tc>
          <w:tcPr>
            <w:tcW w:type="dxa" w:w="2880"/>
          </w:tcPr>
          <w:p>
            <w:r>
              <w:t>New lead</w:t>
            </w:r>
          </w:p>
        </w:tc>
        <w:tc>
          <w:tcPr>
            <w:tcW w:type="dxa" w:w="2880"/>
          </w:tcPr>
          <w:p>
            <w:r>
              <w:t>Required fields and evidence links; missing fields asked, never invented</w:t>
            </w:r>
          </w:p>
        </w:tc>
      </w:tr>
      <w:tr>
        <w:tc>
          <w:tcPr>
            <w:tcW w:type="dxa" w:w="2880"/>
          </w:tcPr>
          <w:p>
            <w:r>
              <w:t>J3 Quote draft</w:t>
            </w:r>
          </w:p>
        </w:tc>
        <w:tc>
          <w:tcPr>
            <w:tcW w:type="dxa" w:w="2880"/>
          </w:tcPr>
          <w:p>
            <w:r>
              <w:t>Qualified lead</w:t>
            </w:r>
          </w:p>
        </w:tc>
        <w:tc>
          <w:tcPr>
            <w:tcW w:type="dxa" w:w="2880"/>
          </w:tcPr>
          <w:p>
            <w:r>
              <w:t>Deterministic fee rules; itemised taxes/exclusions</w:t>
            </w:r>
          </w:p>
        </w:tc>
      </w:tr>
      <w:tr>
        <w:tc>
          <w:tcPr>
            <w:tcW w:type="dxa" w:w="2880"/>
          </w:tcPr>
          <w:p>
            <w:r>
              <w:t>J4 Approval</w:t>
            </w:r>
          </w:p>
        </w:tc>
        <w:tc>
          <w:tcPr>
            <w:tcW w:type="dxa" w:w="2880"/>
          </w:tcPr>
          <w:p>
            <w:r>
              <w:t>Quote ready</w:t>
            </w:r>
          </w:p>
        </w:tc>
        <w:tc>
          <w:tcPr>
            <w:tcW w:type="dxa" w:w="2880"/>
          </w:tcPr>
          <w:p>
            <w:r>
              <w:t>Staff approval and immutable rule version before send</w:t>
            </w:r>
          </w:p>
        </w:tc>
      </w:tr>
      <w:tr>
        <w:tc>
          <w:tcPr>
            <w:tcW w:type="dxa" w:w="2880"/>
          </w:tcPr>
          <w:p>
            <w:r>
              <w:t>J5 Scheduling</w:t>
            </w:r>
          </w:p>
        </w:tc>
        <w:tc>
          <w:tcPr>
            <w:tcW w:type="dxa" w:w="2880"/>
          </w:tcPr>
          <w:p>
            <w:r>
              <w:t>Approved accepted quote</w:t>
            </w:r>
          </w:p>
        </w:tc>
        <w:tc>
          <w:tcPr>
            <w:tcW w:type="dxa" w:w="2880"/>
          </w:tcPr>
          <w:p>
            <w:r>
              <w:t>No calendar side effect without approval; time zone correct</w:t>
            </w:r>
          </w:p>
        </w:tc>
      </w:tr>
      <w:tr>
        <w:tc>
          <w:tcPr>
            <w:tcW w:type="dxa" w:w="2880"/>
          </w:tcPr>
          <w:p>
            <w:r>
              <w:t>J6 Exception</w:t>
            </w:r>
          </w:p>
        </w:tc>
        <w:tc>
          <w:tcPr>
            <w:tcW w:type="dxa" w:w="2880"/>
          </w:tcPr>
          <w:p>
            <w:r>
              <w:t>Low confidence, disallowed request</w:t>
            </w:r>
          </w:p>
        </w:tc>
        <w:tc>
          <w:tcPr>
            <w:tcW w:type="dxa" w:w="2880"/>
          </w:tcPr>
          <w:p>
            <w:r>
              <w:t>Human review; clear failure reason</w:t>
            </w:r>
          </w:p>
        </w:tc>
      </w:tr>
      <w:tr>
        <w:tc>
          <w:tcPr>
            <w:tcW w:type="dxa" w:w="2880"/>
          </w:tcPr>
          <w:p>
            <w:r>
              <w:t>J7 Admin</w:t>
            </w:r>
          </w:p>
        </w:tc>
        <w:tc>
          <w:tcPr>
            <w:tcW w:type="dxa" w:w="2880"/>
          </w:tcPr>
          <w:p>
            <w:r>
              <w:t>Tenant settings</w:t>
            </w:r>
          </w:p>
        </w:tc>
        <w:tc>
          <w:tcPr>
            <w:tcW w:type="dxa" w:w="2880"/>
          </w:tcPr>
          <w:p>
            <w:r>
              <w:t>Versioned catalog, price rules and approved templates</w:t>
            </w:r>
          </w:p>
        </w:tc>
      </w:tr>
    </w:tbl>
    <w:p>
      <w:pPr>
        <w:pStyle w:val="Heading1"/>
      </w:pPr>
      <w:r>
        <w:t>4. Architecture</w:t>
      </w:r>
    </w:p>
    <w:p>
      <w:r>
        <w:drawing>
          <wp:inline xmlns:a="http://schemas.openxmlformats.org/drawingml/2006/main" xmlns:pic="http://schemas.openxmlformats.org/drawingml/2006/picture">
            <wp:extent cx="6217920" cy="345871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3458718"/>
                    </a:xfrm>
                    <a:prstGeom prst="rect"/>
                  </pic:spPr>
                </pic:pic>
              </a:graphicData>
            </a:graphic>
          </wp:inline>
        </w:drawing>
      </w:r>
    </w:p>
    <w:p>
      <w:r>
        <w:t>Design basis: Google Cloud serverless services and ADK agent patterns. Cloud Storage holds object-based operational state with generation-match compare-and-swap; BigQuery holds append-only events and analytics, not synchronous OLTP. Cloud Tasks handles bounded asynchronous work. This is a consciously constrained MVP: users need no arbitrary transactional joins or high-frequency mutation.</w:t>
      </w:r>
    </w:p>
    <w:p>
      <w:pPr>
        <w:pStyle w:val="Heading1"/>
      </w:pPr>
      <w:r>
        <w:t>5. Component contracts and responsibilities</w:t>
      </w:r>
    </w:p>
    <w:p>
      <w:r>
        <w:t>Frontend: React or Next.js behind Cloud Run, authenticated tenant UI. API: FastAPI, OIDC token validation, tenant scoping, request IDs, rate limits, schema validation. Agent: structured intent classification and field extraction, fixed allow-listed tools, schema-constrained output. Business rules: deterministic qualification completeness, territory, service catalogue matching, VAT, pricing and exclusion engine. Connectors: Meta WhatsApp Cloud API and a single CRM connector behind feature flags. Staff review is mandatory for every externally sent quote until a separately approved risk gate.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API / event</w:t>
            </w:r>
          </w:p>
        </w:tc>
        <w:tc>
          <w:tcPr>
            <w:tcW w:type="dxa" w:w="2880"/>
          </w:tcPr>
          <w:p>
            <w:r>
              <w:t>Contract summary</w:t>
            </w:r>
          </w:p>
        </w:tc>
        <w:tc>
          <w:tcPr>
            <w:tcW w:type="dxa" w:w="2880"/>
          </w:tcPr>
          <w:p>
            <w:r>
              <w:t>Expected failures</w:t>
            </w:r>
          </w:p>
        </w:tc>
      </w:tr>
      <w:tr>
        <w:tc>
          <w:tcPr>
            <w:tcW w:type="dxa" w:w="2880"/>
          </w:tcPr>
          <w:p>
            <w:r>
              <w:t>POST /v1/leads</w:t>
            </w:r>
          </w:p>
        </w:tc>
        <w:tc>
          <w:tcPr>
            <w:tcW w:type="dxa" w:w="2880"/>
          </w:tcPr>
          <w:p>
            <w:r>
              <w:t>tenant; channel; external_ref; message; consent; idempotency_key -&gt; lead_id</w:t>
            </w:r>
          </w:p>
        </w:tc>
        <w:tc>
          <w:tcPr>
            <w:tcW w:type="dxa" w:w="2880"/>
          </w:tcPr>
          <w:p>
            <w:r>
              <w:t>400 schema; 401/403 auth; 409 conflicting idempotency</w:t>
            </w:r>
          </w:p>
        </w:tc>
      </w:tr>
      <w:tr>
        <w:tc>
          <w:tcPr>
            <w:tcW w:type="dxa" w:w="2880"/>
          </w:tcPr>
          <w:p>
            <w:r>
              <w:t>GET /v1/leads/{id}</w:t>
            </w:r>
          </w:p>
        </w:tc>
        <w:tc>
          <w:tcPr>
            <w:tcW w:type="dxa" w:w="2880"/>
          </w:tcPr>
          <w:p>
            <w:r>
              <w:t>tenant-scoped status, facts, history, quotes</w:t>
            </w:r>
          </w:p>
        </w:tc>
        <w:tc>
          <w:tcPr>
            <w:tcW w:type="dxa" w:w="2880"/>
          </w:tcPr>
          <w:p>
            <w:r>
              <w:t>404 hidden across tenants</w:t>
            </w:r>
          </w:p>
        </w:tc>
      </w:tr>
      <w:tr>
        <w:tc>
          <w:tcPr>
            <w:tcW w:type="dxa" w:w="2880"/>
          </w:tcPr>
          <w:p>
            <w:r>
              <w:t>POST /v1/leads/{id}/qualify</w:t>
            </w:r>
          </w:p>
        </w:tc>
        <w:tc>
          <w:tcPr>
            <w:tcW w:type="dxa" w:w="2880"/>
          </w:tcPr>
          <w:p>
            <w:r>
              <w:t>creates queued qualification job -&gt; 202 job_id</w:t>
            </w:r>
          </w:p>
        </w:tc>
        <w:tc>
          <w:tcPr>
            <w:tcW w:type="dxa" w:w="2880"/>
          </w:tcPr>
          <w:p>
            <w:r>
              <w:t>429 quota; 422 missing source</w:t>
            </w:r>
          </w:p>
        </w:tc>
      </w:tr>
      <w:tr>
        <w:tc>
          <w:tcPr>
            <w:tcW w:type="dxa" w:w="2880"/>
          </w:tcPr>
          <w:p>
            <w:r>
              <w:t>POST /v1/leads/{id}/quotes</w:t>
            </w:r>
          </w:p>
        </w:tc>
        <w:tc>
          <w:tcPr>
            <w:tcW w:type="dxa" w:w="2880"/>
          </w:tcPr>
          <w:p>
            <w:r>
              <w:t>catalogue_version, line-items, quote draft</w:t>
            </w:r>
          </w:p>
        </w:tc>
        <w:tc>
          <w:tcPr>
            <w:tcW w:type="dxa" w:w="2880"/>
          </w:tcPr>
          <w:p>
            <w:r>
              <w:t>422 non-eligible service</w:t>
            </w:r>
          </w:p>
        </w:tc>
      </w:tr>
      <w:tr>
        <w:tc>
          <w:tcPr>
            <w:tcW w:type="dxa" w:w="2880"/>
          </w:tcPr>
          <w:p>
            <w:r>
              <w:t>POST /v1/quotes/{id}/approve</w:t>
            </w:r>
          </w:p>
        </w:tc>
        <w:tc>
          <w:tcPr>
            <w:tcW w:type="dxa" w:w="2880"/>
          </w:tcPr>
          <w:p>
            <w:r>
              <w:t>expected_generation + reviewer ID</w:t>
            </w:r>
          </w:p>
        </w:tc>
        <w:tc>
          <w:tcPr>
            <w:tcW w:type="dxa" w:w="2880"/>
          </w:tcPr>
          <w:p>
            <w:r>
              <w:t>409 stale; 403 wrong role</w:t>
            </w:r>
          </w:p>
        </w:tc>
      </w:tr>
      <w:tr>
        <w:tc>
          <w:tcPr>
            <w:tcW w:type="dxa" w:w="2880"/>
          </w:tcPr>
          <w:p>
            <w:r>
              <w:t>POST /v1/quotes/{id}/send</w:t>
            </w:r>
          </w:p>
        </w:tc>
        <w:tc>
          <w:tcPr>
            <w:tcW w:type="dxa" w:w="2880"/>
          </w:tcPr>
          <w:p>
            <w:r>
              <w:t>approved quote + permitted channel</w:t>
            </w:r>
          </w:p>
        </w:tc>
        <w:tc>
          <w:tcPr>
            <w:tcW w:type="dxa" w:w="2880"/>
          </w:tcPr>
          <w:p>
            <w:r>
              <w:t>409 not approved; 503 provider down</w:t>
            </w:r>
          </w:p>
        </w:tc>
      </w:tr>
      <w:tr>
        <w:tc>
          <w:tcPr>
            <w:tcW w:type="dxa" w:w="2880"/>
          </w:tcPr>
          <w:p>
            <w:r>
              <w:t>POST /v1/webhooks/whatsapp</w:t>
            </w:r>
          </w:p>
        </w:tc>
        <w:tc>
          <w:tcPr>
            <w:tcW w:type="dxa" w:w="2880"/>
          </w:tcPr>
          <w:p>
            <w:r>
              <w:t>signature + provider event ID -&gt; ack</w:t>
            </w:r>
          </w:p>
        </w:tc>
        <w:tc>
          <w:tcPr>
            <w:tcW w:type="dxa" w:w="2880"/>
          </w:tcPr>
          <w:p>
            <w:r>
              <w:t>401 signature failure; duplicate accepted</w:t>
            </w:r>
          </w:p>
        </w:tc>
      </w:tr>
      <w:tr>
        <w:tc>
          <w:tcPr>
            <w:tcW w:type="dxa" w:w="2880"/>
          </w:tcPr>
          <w:p>
            <w:r>
              <w:t>GET /v1/jobs/{id}</w:t>
            </w:r>
          </w:p>
        </w:tc>
        <w:tc>
          <w:tcPr>
            <w:tcW w:type="dxa" w:w="2880"/>
          </w:tcPr>
          <w:p>
            <w:r>
              <w:t>state, errors, trace, safe retry metadata</w:t>
            </w:r>
          </w:p>
        </w:tc>
        <w:tc>
          <w:tcPr>
            <w:tcW w:type="dxa" w:w="2880"/>
          </w:tcPr>
          <w:p>
            <w:r>
              <w:t>404 inaccessible job</w:t>
            </w:r>
          </w:p>
        </w:tc>
      </w:tr>
    </w:tbl>
    <w:p>
      <w:pPr>
        <w:pStyle w:val="Heading1"/>
      </w:pPr>
      <w:r>
        <w:t>6. Data model</w:t>
      </w:r>
    </w:p>
    <w:p>
      <w:r>
        <w:t>GCS: tenants/{tenant}/leads/{lead}/state.json; immutable input payload objects; quotes/{quote}/vN.json; event export partitions; reports. Each state write requires ifGenerationMatch and returns conflict on stale versions. Events have event_id, tenant_id, actor_id, entity_id, action, timestamp, correlation_id, policy_version, content_hash and result, buffered via Cloud Tasks into BigQuery. BigQuery datasets for events, usage, funnel_metrics and reconciliation. PII encrypted and access-controlled; retention periods configurable and verified in tests. No Cloud SQL or PostgreSQL.</w:t>
      </w:r>
    </w:p>
    <w:p>
      <w:pPr>
        <w:pStyle w:val="Heading1"/>
      </w:pPr>
      <w:r>
        <w:t>7. Pricing and operational separation</w:t>
      </w:r>
    </w:p>
    <w:p>
      <w:r>
        <w:t>Application implements feature entitlements, quotas, tenant plans, price catalogue version selection and metering via configuration interfaces; commercial tier values belong exclusively to the Business Model document. Quotation prices for the customers' services are tenant-owned catalogue values, distinct from the subscription price charged for this application.</w:t>
      </w:r>
    </w:p>
    <w:p>
      <w:pPr>
        <w:pStyle w:val="Heading1"/>
      </w:pPr>
      <w:r>
        <w:t>8. AI guardrails and security</w:t>
      </w:r>
    </w:p>
    <w:p>
      <w:r>
        <w:t>Treat all inbound content as untrusted, never execute model-generated code or URLs, prevent prompt instructions from invoking unrestricted tools, redact unnecessary PII from traces, validate webhook authenticity, include spam/abuse throttles, require human sign-off on outbound quotes and appointments, and capture evidence for every generated qualification. Show a clear “AI suggestion” badge and confidence reason in the reviewer UI.</w:t>
      </w:r>
    </w:p>
    <w:p>
      <w:pPr>
        <w:pStyle w:val="Heading1"/>
      </w:pPr>
      <w:r>
        <w:t>9. End-to-end test matrix</w:t>
      </w:r>
    </w:p>
    <w:p>
      <w:r>
        <w:t>Synthetic positives: normal service request, multi-message clarification, in-territory job, VAT-exempt policy case, approved quote. Negatives: malformed webhook, spoofed signature, repeated provider delivery, out-of-area address, disallowed service, injected instruction, inconsistent fee catalogue, simultaneous approval, vendor timeout, cross-tenant data request, missing consent. Verify all without external production messages.</w:t>
      </w:r>
    </w:p>
    <w:p>
      <w:pPr>
        <w:pStyle w:val="Heading1"/>
      </w:pPr>
      <w:r>
        <w:t>10. Seven-day engineering implementation plan</w:t>
      </w:r>
    </w:p>
    <w:p>
      <w:r>
        <w:t>Day 1: repo, auth contracts, UI shell, schema. Day 2: lead capture, state CAS, workflow status. Day 3: qualification and agent structured outputs. Day 4: deterministic quote rules, catalogue, permissions. Day 5: reviewer UI, approved send sandbox, one CRM export. Day 6: E2E, negative, tenant isolation and idempotency tests. Day 7: staging demonstration, defect closure, production candidate only if gates pass.</w:t>
      </w:r>
    </w:p>
    <w:p>
      <w:pPr>
        <w:pStyle w:val="Heading1"/>
      </w:pPr>
      <w:r>
        <w:t>11. Developer backlog and definition of done</w:t>
      </w:r>
    </w:p>
    <w:p>
      <w:r>
        <w:t>Work packages DEV-01 frontend and auth, DEV-02 lead API, DEV-03 inbound adapter, DEV-04 qualification rules and prompt schema, DEV-05 quote engine, DEV-06 approval and outbox, DEV-07 history and exports, DEV-08 dashboards and tests. Each PR must include typed contracts, runnable tests, observability tags, mock fixtures, threat-case coverage and deployment documentation. Done = reproducible staging demonstration plus acceptance evidence, not just a UI screenshot.</w:t>
      </w:r>
    </w:p>
    <w:p>
      <w:pPr>
        <w:pStyle w:val="Heading1"/>
      </w:pPr>
      <w:r>
        <w:t>12. Technical risks and launch blockers</w:t>
      </w:r>
    </w:p>
    <w:p>
      <w:r>
        <w:t>WhatsApp template approval and business account setup can exceed seven days, so website-first is the mandatory launch path. GCS state can become a throughput bottleneck for hot records; measure contention and plan an alternative state store if product needs outgrow CAS. BigQuery ingestion is eventually consistent and cannot anchor online approval decisions. Provider rate limits, customer consent and calendar side effects must be verified before enabling live integrations.</w:t>
      </w:r>
    </w:p>
    <w:p>
      <w:pPr>
        <w:pStyle w:val="Heading1"/>
      </w:pPr>
      <w:r>
        <w:t>13. Relevant technical references</w:t>
      </w:r>
    </w:p>
    <w:p>
      <w:r>
        <w:t>Google Cloud Run agents: https://cloud.google.com/run/docs/ai-agents ; Google Cloud architecture: https://cloud.google.com/architecture ; Cloud Storage object preconditions: https://cloud.google.com/storage/docs/request-preconditions ; Google Cloud Tasks: https://cloud.google.com/tasks/docs ; BigQuery: https://cloud.google.com/bigquery/docs ; Meta WhatsApp Cloud API: https://developers.facebook.com/docs/whatsapp/cloud-api/</w:t>
      </w:r>
    </w:p>
    <w:p>
      <w:pPr>
        <w:pStyle w:val="Heading1"/>
      </w:pPr>
      <w:r>
        <w:t>Authorisation and sign-off</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Role</w:t>
            </w:r>
          </w:p>
        </w:tc>
        <w:tc>
          <w:tcPr>
            <w:tcW w:type="dxa" w:w="2880"/>
          </w:tcPr>
          <w:p>
            <w:r>
              <w:t>Decision</w:t>
            </w:r>
          </w:p>
        </w:tc>
        <w:tc>
          <w:tcPr>
            <w:tcW w:type="dxa" w:w="2880"/>
          </w:tcPr>
          <w:p>
            <w:r>
              <w:t>Owner / date</w:t>
            </w:r>
          </w:p>
        </w:tc>
      </w:tr>
      <w:tr>
        <w:tc>
          <w:tcPr>
            <w:tcW w:type="dxa" w:w="2880"/>
          </w:tcPr>
          <w:p>
            <w:r>
              <w:t>Product sponsor</w:t>
            </w:r>
          </w:p>
        </w:tc>
        <w:tc>
          <w:tcPr>
            <w:tcW w:type="dxa" w:w="2880"/>
          </w:tcPr>
          <w:p>
            <w:r>
              <w:t>Approve / revise / reject</w:t>
            </w:r>
          </w:p>
        </w:tc>
        <w:tc>
          <w:tcPr>
            <w:tcW w:type="dxa" w:w="2880"/>
          </w:tcPr>
          <w:p>
            <w:r>
              <w:t>________________</w:t>
            </w:r>
          </w:p>
        </w:tc>
      </w:tr>
      <w:tr>
        <w:tc>
          <w:tcPr>
            <w:tcW w:type="dxa" w:w="2880"/>
          </w:tcPr>
          <w:p>
            <w:r>
              <w:t>Technical lead</w:t>
            </w:r>
          </w:p>
        </w:tc>
        <w:tc>
          <w:tcPr>
            <w:tcW w:type="dxa" w:w="2880"/>
          </w:tcPr>
          <w:p>
            <w:r>
              <w:t>Approve / revise / reject</w:t>
            </w:r>
          </w:p>
        </w:tc>
        <w:tc>
          <w:tcPr>
            <w:tcW w:type="dxa" w:w="2880"/>
          </w:tcPr>
          <w:p>
            <w:r>
              <w:t>________________</w:t>
            </w:r>
          </w:p>
        </w:tc>
      </w:tr>
      <w:tr>
        <w:tc>
          <w:tcPr>
            <w:tcW w:type="dxa" w:w="2880"/>
          </w:tcPr>
          <w:p>
            <w:r>
              <w:t>Security / compliance</w:t>
            </w:r>
          </w:p>
        </w:tc>
        <w:tc>
          <w:tcPr>
            <w:tcW w:type="dxa" w:w="2880"/>
          </w:tcPr>
          <w:p>
            <w:r>
              <w:t>Approve / revise / reject</w:t>
            </w:r>
          </w:p>
        </w:tc>
        <w:tc>
          <w:tcPr>
            <w:tcW w:type="dxa" w:w="2880"/>
          </w:tcPr>
          <w:p>
            <w:r>
              <w:t>________________</w:t>
            </w:r>
          </w:p>
        </w:tc>
      </w:tr>
    </w:tbl>
    <w:sectPr w:rsidR="00FC693F" w:rsidRPr="0006063C" w:rsidSect="00034616">
      <w:pgSz w:w="12240" w:h="15840"/>
      <w:pgMar w:top="1123" w:right="1800" w:bottom="936"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2F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D2F4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D2F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