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03 | Business Model and Configurable Pricing</w:t>
      </w:r>
    </w:p>
    <w:p>
      <w:pPr>
        <w:pStyle w:val="Subtitle"/>
      </w:pPr>
      <w:r>
        <w:t>Experiment 5 | Commercial hypotheses, subscription controls and unit economics</w:t>
      </w:r>
    </w:p>
    <w:p>
      <w:r>
        <w:t>Brilliant Brains | Experiment 5  |  20 October 2026  |  1.0 - Approval Candidate</w:t>
      </w:r>
    </w:p>
    <w:p>
      <w:r>
        <w:t>DECISION STATUS: Proposed technical/commercial specification; no build, deployment or customer commitment is implied.</w:t>
      </w:r>
    </w:p>
    <w:p>
      <w:pPr>
        <w:pStyle w:val="Heading1"/>
      </w:pPr>
      <w:r>
        <w:t>1. Commercial proposition</w:t>
      </w:r>
    </w:p>
    <w:p>
      <w:r>
        <w:t>Sell a lead-to-order operating capability to workflow-intensive UK service businesses. Primary outcome is fewer missed qualified enquiries and reduced admin per quote, not “an AI chatbot”. Initial vertical: facilities and field-service contractors with enquiry-to-quote stages. Buyers: operations directors, sales managers and owner-managers with credible lead volume. A product-led self-service offer is only supported after the onboarding workflow has been shown to work without repeated bespoke engineering.</w:t>
      </w:r>
    </w:p>
    <w:p>
      <w:pPr>
        <w:pStyle w:val="Heading1"/>
      </w:pPr>
      <w:r>
        <w:t>2. Charging model and draft tier hypotheses</w:t>
      </w:r>
    </w:p>
    <w:p>
      <w:r>
        <w:t>All amounts illustrative and exclude VAT. Prices are editable admin configuration, not hardcoded constants. Selling price must be compared to fully loaded integration/onboarding and support costs. Setup fees protect against one-off integration labour; monthly fees must cover genuine recurring workflow value.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Hypothetical setup</w:t>
            </w:r>
          </w:p>
        </w:tc>
        <w:tc>
          <w:tcPr>
            <w:tcW w:type="dxa" w:w="2160"/>
          </w:tcPr>
          <w:p>
            <w:r>
              <w:t>Hypothetical monthly</w:t>
            </w:r>
          </w:p>
        </w:tc>
        <w:tc>
          <w:tcPr>
            <w:tcW w:type="dxa" w:w="2160"/>
          </w:tcPr>
          <w:p>
            <w:r>
              <w:t>Included and constraints</w:t>
            </w:r>
          </w:p>
        </w:tc>
      </w:tr>
      <w:tr>
        <w:tc>
          <w:tcPr>
            <w:tcW w:type="dxa" w:w="2160"/>
          </w:tcPr>
          <w:p>
            <w:r>
              <w:t>Pilot</w:t>
            </w:r>
          </w:p>
        </w:tc>
        <w:tc>
          <w:tcPr>
            <w:tcW w:type="dxa" w:w="2160"/>
          </w:tcPr>
          <w:p>
            <w:r>
              <w:t>£500</w:t>
            </w:r>
          </w:p>
        </w:tc>
        <w:tc>
          <w:tcPr>
            <w:tcW w:type="dxa" w:w="2160"/>
          </w:tcPr>
          <w:p>
            <w:r>
              <w:t>£199</w:t>
            </w:r>
          </w:p>
        </w:tc>
        <w:tc>
          <w:tcPr>
            <w:tcW w:type="dxa" w:w="2160"/>
          </w:tcPr>
          <w:p>
            <w:r>
              <w:t>Website leads only; up to 100 cases/month; single admin; no live WhatsApp guaranteed</w:t>
            </w:r>
          </w:p>
        </w:tc>
      </w:tr>
      <w:tr>
        <w:tc>
          <w:tcPr>
            <w:tcW w:type="dxa" w:w="2160"/>
          </w:tcPr>
          <w:p>
            <w:r>
              <w:t>Growth</w:t>
            </w:r>
          </w:p>
        </w:tc>
        <w:tc>
          <w:tcPr>
            <w:tcW w:type="dxa" w:w="2160"/>
          </w:tcPr>
          <w:p>
            <w:r>
              <w:t>£1,500</w:t>
            </w:r>
          </w:p>
        </w:tc>
        <w:tc>
          <w:tcPr>
            <w:tcW w:type="dxa" w:w="2160"/>
          </w:tcPr>
          <w:p>
            <w:r>
              <w:t>£499</w:t>
            </w:r>
          </w:p>
        </w:tc>
        <w:tc>
          <w:tcPr>
            <w:tcW w:type="dxa" w:w="2160"/>
          </w:tcPr>
          <w:p>
            <w:r>
              <w:t>Up to 750 cases/month; reviewed quotations; one CRM connector; reporting</w:t>
            </w:r>
          </w:p>
        </w:tc>
      </w:tr>
      <w:tr>
        <w:tc>
          <w:tcPr>
            <w:tcW w:type="dxa" w:w="2160"/>
          </w:tcPr>
          <w:p>
            <w:r>
              <w:t>Operations</w:t>
            </w:r>
          </w:p>
        </w:tc>
        <w:tc>
          <w:tcPr>
            <w:tcW w:type="dxa" w:w="2160"/>
          </w:tcPr>
          <w:p>
            <w:r>
              <w:t>£3,000</w:t>
            </w:r>
          </w:p>
        </w:tc>
        <w:tc>
          <w:tcPr>
            <w:tcW w:type="dxa" w:w="2160"/>
          </w:tcPr>
          <w:p>
            <w:r>
              <w:t>£999</w:t>
            </w:r>
          </w:p>
        </w:tc>
        <w:tc>
          <w:tcPr>
            <w:tcW w:type="dxa" w:w="2160"/>
          </w:tcPr>
          <w:p>
            <w:r>
              <w:t>Up to 3,000 cases/month; multiple staff; priority support; approved WhatsApp setup</w:t>
            </w:r>
          </w:p>
        </w:tc>
      </w:tr>
      <w:tr>
        <w:tc>
          <w:tcPr>
            <w:tcW w:type="dxa" w:w="2160"/>
          </w:tcPr>
          <w:p>
            <w:r>
              <w:t>Enterprise / custom</w:t>
            </w:r>
          </w:p>
        </w:tc>
        <w:tc>
          <w:tcPr>
            <w:tcW w:type="dxa" w:w="2160"/>
          </w:tcPr>
          <w:p>
            <w:r>
              <w:t>Quoted</w:t>
            </w:r>
          </w:p>
        </w:tc>
        <w:tc>
          <w:tcPr>
            <w:tcW w:type="dxa" w:w="2160"/>
          </w:tcPr>
          <w:p>
            <w:r>
              <w:t>Quoted</w:t>
            </w:r>
          </w:p>
        </w:tc>
        <w:tc>
          <w:tcPr>
            <w:tcW w:type="dxa" w:w="2160"/>
          </w:tcPr>
          <w:p>
            <w:r>
              <w:t>Multi-site rules, integrations, bespoke controls and negotiated SLAs</w:t>
            </w:r>
          </w:p>
        </w:tc>
      </w:tr>
    </w:tbl>
    <w:p>
      <w:pPr>
        <w:pStyle w:val="Heading1"/>
      </w:pPr>
      <w:r>
        <w:t>3. Billing and entitlement configuration design</w:t>
      </w:r>
    </w:p>
    <w:p>
      <w:r>
        <w:t>Tenant plan has plan_id, plan_version, effective_from, effective_to, currency, setup_fee, recurring_fee, metered_limits, feature_flags, support_sla, pricing_visibility and overage_policy. Admin may create a draft tariff, preview affected contracts and publish a future-dated version with two-person approval. Existing customer terms cannot be silently overwritten. Quote-rule configuration used by the customer business is a separate domain from application subscription billing.</w:t>
      </w:r>
    </w:p>
    <w:p>
      <w:pPr>
        <w:pStyle w:val="Heading1"/>
      </w:pPr>
      <w:r>
        <w:t>4. Payments and overages</w:t>
      </w:r>
    </w:p>
    <w:p>
      <w:r>
        <w:t>Stripe or alternative regulated billing provider under a separate webhook integration. Only the billing provider stores payment credentials. Process subscription.created/updated/cancelled and invoice events idempotently. Enforce plan entitlements in the backend, not the UI. When a usage cap is hit, preserve incoming lead capture where commercially appropriate but pause premium processing or request an upgrade under a published fair-use policy. Avoid surprise overages until proven acceptable.</w:t>
      </w:r>
    </w:p>
    <w:p>
      <w:pPr>
        <w:pStyle w:val="Heading1"/>
      </w:pPr>
      <w:r>
        <w:t>5. Unit economics - scenario example</w:t>
      </w:r>
    </w:p>
    <w:p>
      <w:r>
        <w:t>Illustrative Growth customer paying £499/month and £1,500 setup. Assume £55/month of cloud and messaging variable costs, £100/month of ongoing support, and 10 hours integration work at £35 loaded rate. First-year receipts if active all 12 months: £7,488. Modelled first-year variable delivery/support/onboarding cost: £2,210, leaving £5,278 before acquisition, fixed overhead, further engineering, refunds and tax. This is not a forecast.</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Customers</w:t>
            </w:r>
          </w:p>
        </w:tc>
        <w:tc>
          <w:tcPr>
            <w:tcW w:type="dxa" w:w="2160"/>
          </w:tcPr>
          <w:p>
            <w:r>
              <w:t>Year-one annualised recurring revenue at £499/mo</w:t>
            </w:r>
          </w:p>
        </w:tc>
        <w:tc>
          <w:tcPr>
            <w:tcW w:type="dxa" w:w="2160"/>
          </w:tcPr>
          <w:p>
            <w:r>
              <w:t>Comment</w:t>
            </w:r>
          </w:p>
        </w:tc>
      </w:tr>
      <w:tr>
        <w:tc>
          <w:tcPr>
            <w:tcW w:type="dxa" w:w="2160"/>
          </w:tcPr>
          <w:p>
            <w:r>
              <w:t>Validation</w:t>
            </w:r>
          </w:p>
        </w:tc>
        <w:tc>
          <w:tcPr>
            <w:tcW w:type="dxa" w:w="2160"/>
          </w:tcPr>
          <w:p>
            <w:r>
              <w:t>3</w:t>
            </w:r>
          </w:p>
        </w:tc>
        <w:tc>
          <w:tcPr>
            <w:tcW w:type="dxa" w:w="2160"/>
          </w:tcPr>
          <w:p>
            <w:r>
              <w:t>£17,964</w:t>
            </w:r>
          </w:p>
        </w:tc>
        <w:tc>
          <w:tcPr>
            <w:tcW w:type="dxa" w:w="2160"/>
          </w:tcPr>
          <w:p>
            <w:r>
              <w:t>Only if three full-year subscriptions; unlikely all start day 1</w:t>
            </w:r>
          </w:p>
        </w:tc>
      </w:tr>
      <w:tr>
        <w:tc>
          <w:tcPr>
            <w:tcW w:type="dxa" w:w="2160"/>
          </w:tcPr>
          <w:p>
            <w:r>
              <w:t>Early traction</w:t>
            </w:r>
          </w:p>
        </w:tc>
        <w:tc>
          <w:tcPr>
            <w:tcW w:type="dxa" w:w="2160"/>
          </w:tcPr>
          <w:p>
            <w:r>
              <w:t>10</w:t>
            </w:r>
          </w:p>
        </w:tc>
        <w:tc>
          <w:tcPr>
            <w:tcW w:type="dxa" w:w="2160"/>
          </w:tcPr>
          <w:p>
            <w:r>
              <w:t>£59,880</w:t>
            </w:r>
          </w:p>
        </w:tc>
        <w:tc>
          <w:tcPr>
            <w:tcW w:type="dxa" w:w="2160"/>
          </w:tcPr>
          <w:p>
            <w:r>
              <w:t>Needs consistent inbound flow and onboarding</w:t>
            </w:r>
          </w:p>
        </w:tc>
      </w:tr>
      <w:tr>
        <w:tc>
          <w:tcPr>
            <w:tcW w:type="dxa" w:w="2160"/>
          </w:tcPr>
          <w:p>
            <w:r>
              <w:t>Scaled pilot</w:t>
            </w:r>
          </w:p>
        </w:tc>
        <w:tc>
          <w:tcPr>
            <w:tcW w:type="dxa" w:w="2160"/>
          </w:tcPr>
          <w:p>
            <w:r>
              <w:t>25</w:t>
            </w:r>
          </w:p>
        </w:tc>
        <w:tc>
          <w:tcPr>
            <w:tcW w:type="dxa" w:w="2160"/>
          </w:tcPr>
          <w:p>
            <w:r>
              <w:t>£149,700</w:t>
            </w:r>
          </w:p>
        </w:tc>
        <w:tc>
          <w:tcPr>
            <w:tcW w:type="dxa" w:w="2160"/>
          </w:tcPr>
          <w:p>
            <w:r>
              <w:t>Requires documented support capacity</w:t>
            </w:r>
          </w:p>
        </w:tc>
      </w:tr>
    </w:tbl>
    <w:p>
      <w:pPr>
        <w:pStyle w:val="Heading1"/>
      </w:pPr>
      <w:r>
        <w:t>6. Pricing and conversion experiments</w:t>
      </w:r>
    </w:p>
    <w:p>
      <w:r>
        <w:t>Test whether buyers prefer fixed monthly platform fees, pay-per-qualified-lead, pay-per-booking or an implementation-led managed service. Randomise or sequence clearly disclosed comparable offers rather than making unsupported “market price” claims. Record enquiry volume, missed-lead rate, quote conversion, staff minutes saved, customer acquisition costs, support burden and contribution margin. Discounts need expiration and approval rules.</w:t>
      </w:r>
    </w:p>
    <w:p>
      <w:pPr>
        <w:pStyle w:val="Heading1"/>
      </w:pPr>
      <w:r>
        <w:t>7. Sales and margin gates</w:t>
      </w:r>
    </w:p>
    <w:p>
      <w:r>
        <w:t>Before broad launch require two paid design partners or equivalent commitments, at least 100 real but consented pilot leads across customers, measurable baseline, and verified quote approval accuracy. Proceed only if customer can demonstrate positive net benefit and projected gross contribution after direct costs is positive. Define churn cohorts and adoption metrics after 60–90 days rather than asserting a subscription market today.</w:t>
      </w:r>
    </w:p>
    <w:p>
      <w:pPr>
        <w:pStyle w:val="Heading1"/>
      </w:pPr>
      <w:r>
        <w:t>8. Legal and commercial risks</w:t>
      </w:r>
    </w:p>
    <w:p>
      <w:r>
        <w:t>UK GDPR, PECR, WhatsApp policies, consumer rights where applicable, VAT, contract liabilities, subcontractor agreements, data processing and tenant offboarding. Obtain qualified UK legal and accountancy advice before launch, especially around business activities alongside current employment; review TCS/IP/confidentiality and outside-work obligations. No direct connection to employer or client internal systems without explicit authorisation.</w:t>
      </w:r>
    </w:p>
    <w:p>
      <w:pPr>
        <w:pStyle w:val="Heading1"/>
      </w:pPr>
      <w:r>
        <w:t>9. Commercial sources and verification</w:t>
      </w:r>
    </w:p>
    <w:p>
      <w:r>
        <w:t>ICO B2B marketing guidance: https://ico.org.uk/for-organisations/direct-marketing-and-privacy-and-electronic-communications/business-to-business-marketing/ ; Meta Business Platform https://developers.facebook.com/docs/whatsapp/cloud-api/ ; Stripe subscriptions documentation https://docs.stripe.com/billing/subscriptions/overview . All prices in this document are hypotheses, not verified competitor tariffs.</w:t>
      </w:r>
    </w:p>
    <w:p>
      <w:pPr>
        <w:pStyle w:val="Heading1"/>
      </w:pPr>
      <w:r>
        <w:t>Authorisation and sign-off</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Role</w:t>
            </w:r>
          </w:p>
        </w:tc>
        <w:tc>
          <w:tcPr>
            <w:tcW w:type="dxa" w:w="2880"/>
          </w:tcPr>
          <w:p>
            <w:r>
              <w:t>Decision</w:t>
            </w:r>
          </w:p>
        </w:tc>
        <w:tc>
          <w:tcPr>
            <w:tcW w:type="dxa" w:w="2880"/>
          </w:tcPr>
          <w:p>
            <w:r>
              <w:t>Owner / date</w:t>
            </w:r>
          </w:p>
        </w:tc>
      </w:tr>
      <w:tr>
        <w:tc>
          <w:tcPr>
            <w:tcW w:type="dxa" w:w="2880"/>
          </w:tcPr>
          <w:p>
            <w:r>
              <w:t>Product sponsor</w:t>
            </w:r>
          </w:p>
        </w:tc>
        <w:tc>
          <w:tcPr>
            <w:tcW w:type="dxa" w:w="2880"/>
          </w:tcPr>
          <w:p>
            <w:r>
              <w:t>Approve / revise / reject</w:t>
            </w:r>
          </w:p>
        </w:tc>
        <w:tc>
          <w:tcPr>
            <w:tcW w:type="dxa" w:w="2880"/>
          </w:tcPr>
          <w:p>
            <w:r>
              <w:t>________________</w:t>
            </w:r>
          </w:p>
        </w:tc>
      </w:tr>
      <w:tr>
        <w:tc>
          <w:tcPr>
            <w:tcW w:type="dxa" w:w="2880"/>
          </w:tcPr>
          <w:p>
            <w:r>
              <w:t>Technical lead</w:t>
            </w:r>
          </w:p>
        </w:tc>
        <w:tc>
          <w:tcPr>
            <w:tcW w:type="dxa" w:w="2880"/>
          </w:tcPr>
          <w:p>
            <w:r>
              <w:t>Approve / revise / reject</w:t>
            </w:r>
          </w:p>
        </w:tc>
        <w:tc>
          <w:tcPr>
            <w:tcW w:type="dxa" w:w="2880"/>
          </w:tcPr>
          <w:p>
            <w:r>
              <w:t>________________</w:t>
            </w:r>
          </w:p>
        </w:tc>
      </w:tr>
      <w:tr>
        <w:tc>
          <w:tcPr>
            <w:tcW w:type="dxa" w:w="2880"/>
          </w:tcPr>
          <w:p>
            <w:r>
              <w:t>Security / compliance</w:t>
            </w:r>
          </w:p>
        </w:tc>
        <w:tc>
          <w:tcPr>
            <w:tcW w:type="dxa" w:w="2880"/>
          </w:tcPr>
          <w:p>
            <w:r>
              <w:t>Approve / revise / reject</w:t>
            </w:r>
          </w:p>
        </w:tc>
        <w:tc>
          <w:tcPr>
            <w:tcW w:type="dxa" w:w="2880"/>
          </w:tcPr>
          <w:p>
            <w:r>
              <w:t>________________</w:t>
            </w:r>
          </w:p>
        </w:tc>
      </w:tr>
    </w:tbl>
    <w:sectPr w:rsidR="00FC693F" w:rsidRPr="0006063C" w:rsidSect="00034616">
      <w:pgSz w:w="12240" w:h="15840"/>
      <w:pgMar w:top="1123" w:right="1800" w:bottom="936"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2F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2F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2F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