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 Business Analyst Discovery and UAT</w:t>
      </w:r>
    </w:p>
    <w:p>
      <w:pPr>
        <w:pStyle w:val="Subtitle"/>
      </w:pPr>
      <w:r>
        <w:t>Experiment 5 | Independent customer research and product acceptance mandate</w:t>
      </w:r>
    </w:p>
    <w:p>
      <w:r>
        <w:t>Brilliant Brains | Experiment 5  |  20 October 2026  |  1.0 - Approval Candidate</w:t>
      </w:r>
    </w:p>
    <w:p>
      <w:r>
        <w:t>DECISION STATUS: Proposed technical/commercial specification; no build, deployment or customer commitment is implied.</w:t>
      </w:r>
    </w:p>
    <w:p>
      <w:pPr>
        <w:pStyle w:val="Heading1"/>
      </w:pPr>
      <w:r>
        <w:t>1. Precise BA mission</w:t>
      </w:r>
    </w:p>
    <w:p>
      <w:r>
        <w:t>Validate whether field-service and facilities operators regularly lose or delay revenue between an inbound enquiry and an accepted job. Independently determine the workflow, the people involved, systems and costs, then test whether a human-approved AI lead-to-order assistant improves outcomes. BA team does not write production code, provision infrastructure, approve cloud spend or promise automated sales performance.</w:t>
      </w:r>
    </w:p>
    <w:p>
      <w:pPr>
        <w:pStyle w:val="Heading1"/>
      </w:pPr>
      <w:r>
        <w:t>2. Who to interview and qualification</w:t>
      </w:r>
    </w:p>
    <w:p>
      <w:r>
        <w:t>Interview operations managers, sales/estimating leads, dispatchers, office administrators and finance owners at 10–249 employee businesses. Require measurable incoming lead volumes and a multi-step enquiry-to-job journey. Exclude enterprises unable to share any baseline, those without a decision-owner, and businesses relying on a very low-volume bespoke sales process that would not benefit from automation.</w:t>
      </w:r>
    </w:p>
    <w:p>
      <w:pPr>
        <w:pStyle w:val="Heading1"/>
      </w:pPr>
      <w:r>
        <w:t>3. Business journey and evidence map</w:t>
      </w:r>
    </w:p>
    <w:p>
      <w:r>
        <w:t>Discover every stage: enquiry received (website/phone/WhatsApp/email) -&gt; acknowledgement -&gt; qualification -&gt; estimating -&gt; quote review -&gt; sending -&gt; customer response -&gt; booking -&gt; service delivery handoff -&gt; invoice trigger. Note system owner, system of record, required fields, average duration, exception rate, channel and customer touchpoints. Obtain redacted examples of real forms, quote templates, service catalogues, approval matrices and five good plus five failed cases with explicit permission.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Journey</w:t>
            </w:r>
          </w:p>
        </w:tc>
        <w:tc>
          <w:tcPr>
            <w:tcW w:type="dxa" w:w="2880"/>
          </w:tcPr>
          <w:p>
            <w:r>
              <w:t>What BA demonstrates</w:t>
            </w:r>
          </w:p>
        </w:tc>
        <w:tc>
          <w:tcPr>
            <w:tcW w:type="dxa" w:w="2880"/>
          </w:tcPr>
          <w:p>
            <w:r>
              <w:t>What to record</w:t>
            </w:r>
          </w:p>
        </w:tc>
      </w:tr>
      <w:tr>
        <w:tc>
          <w:tcPr>
            <w:tcW w:type="dxa" w:w="2880"/>
          </w:tcPr>
          <w:p>
            <w:r>
              <w:t>Inbound lead</w:t>
            </w:r>
          </w:p>
        </w:tc>
        <w:tc>
          <w:tcPr>
            <w:tcW w:type="dxa" w:w="2880"/>
          </w:tcPr>
          <w:p>
            <w:r>
              <w:t>Lead form submission and source</w:t>
            </w:r>
          </w:p>
        </w:tc>
        <w:tc>
          <w:tcPr>
            <w:tcW w:type="dxa" w:w="2880"/>
          </w:tcPr>
          <w:p>
            <w:r>
              <w:t>channel, response SLA, duplicate rate</w:t>
            </w:r>
          </w:p>
        </w:tc>
      </w:tr>
      <w:tr>
        <w:tc>
          <w:tcPr>
            <w:tcW w:type="dxa" w:w="2880"/>
          </w:tcPr>
          <w:p>
            <w:r>
              <w:t>Clarification</w:t>
            </w:r>
          </w:p>
        </w:tc>
        <w:tc>
          <w:tcPr>
            <w:tcW w:type="dxa" w:w="2880"/>
          </w:tcPr>
          <w:p>
            <w:r>
              <w:t>Missing fields identified accurately</w:t>
            </w:r>
          </w:p>
        </w:tc>
        <w:tc>
          <w:tcPr>
            <w:tcW w:type="dxa" w:w="2880"/>
          </w:tcPr>
          <w:p>
            <w:r>
              <w:t>quality and customer effort</w:t>
            </w:r>
          </w:p>
        </w:tc>
      </w:tr>
      <w:tr>
        <w:tc>
          <w:tcPr>
            <w:tcW w:type="dxa" w:w="2880"/>
          </w:tcPr>
          <w:p>
            <w:r>
              <w:t>Quote preparation</w:t>
            </w:r>
          </w:p>
        </w:tc>
        <w:tc>
          <w:tcPr>
            <w:tcW w:type="dxa" w:w="2880"/>
          </w:tcPr>
          <w:p>
            <w:r>
              <w:t>Rule-based quote with exclusions</w:t>
            </w:r>
          </w:p>
        </w:tc>
        <w:tc>
          <w:tcPr>
            <w:tcW w:type="dxa" w:w="2880"/>
          </w:tcPr>
          <w:p>
            <w:r>
              <w:t>variance against human baseline</w:t>
            </w:r>
          </w:p>
        </w:tc>
      </w:tr>
      <w:tr>
        <w:tc>
          <w:tcPr>
            <w:tcW w:type="dxa" w:w="2880"/>
          </w:tcPr>
          <w:p>
            <w:r>
              <w:t>Human approval</w:t>
            </w:r>
          </w:p>
        </w:tc>
        <w:tc>
          <w:tcPr>
            <w:tcW w:type="dxa" w:w="2880"/>
          </w:tcPr>
          <w:p>
            <w:r>
              <w:t>Operator reviews/rejects/edits</w:t>
            </w:r>
          </w:p>
        </w:tc>
        <w:tc>
          <w:tcPr>
            <w:tcW w:type="dxa" w:w="2880"/>
          </w:tcPr>
          <w:p>
            <w:r>
              <w:t>review time and reason</w:t>
            </w:r>
          </w:p>
        </w:tc>
      </w:tr>
      <w:tr>
        <w:tc>
          <w:tcPr>
            <w:tcW w:type="dxa" w:w="2880"/>
          </w:tcPr>
          <w:p>
            <w:r>
              <w:t>Customer response</w:t>
            </w:r>
          </w:p>
        </w:tc>
        <w:tc>
          <w:tcPr>
            <w:tcW w:type="dxa" w:w="2880"/>
          </w:tcPr>
          <w:p>
            <w:r>
              <w:t>Consent-aware message preview</w:t>
            </w:r>
          </w:p>
        </w:tc>
        <w:tc>
          <w:tcPr>
            <w:tcW w:type="dxa" w:w="2880"/>
          </w:tcPr>
          <w:p>
            <w:r>
              <w:t>template acceptance and customer comprehension</w:t>
            </w:r>
          </w:p>
        </w:tc>
      </w:tr>
      <w:tr>
        <w:tc>
          <w:tcPr>
            <w:tcW w:type="dxa" w:w="2880"/>
          </w:tcPr>
          <w:p>
            <w:r>
              <w:t>CRM handoff</w:t>
            </w:r>
          </w:p>
        </w:tc>
        <w:tc>
          <w:tcPr>
            <w:tcW w:type="dxa" w:w="2880"/>
          </w:tcPr>
          <w:p>
            <w:r>
              <w:t>Approved record created/exported</w:t>
            </w:r>
          </w:p>
        </w:tc>
        <w:tc>
          <w:tcPr>
            <w:tcW w:type="dxa" w:w="2880"/>
          </w:tcPr>
          <w:p>
            <w:r>
              <w:t>data integrity and handoff time</w:t>
            </w:r>
          </w:p>
        </w:tc>
      </w:tr>
      <w:tr>
        <w:tc>
          <w:tcPr>
            <w:tcW w:type="dxa" w:w="2880"/>
          </w:tcPr>
          <w:p>
            <w:r>
              <w:t>Exception</w:t>
            </w:r>
          </w:p>
        </w:tc>
        <w:tc>
          <w:tcPr>
            <w:tcW w:type="dxa" w:w="2880"/>
          </w:tcPr>
          <w:p>
            <w:r>
              <w:t>Out-of-scope or adversarial request escalated</w:t>
            </w:r>
          </w:p>
        </w:tc>
        <w:tc>
          <w:tcPr>
            <w:tcW w:type="dxa" w:w="2880"/>
          </w:tcPr>
          <w:p>
            <w:r>
              <w:t>false confidence and recovery time</w:t>
            </w:r>
          </w:p>
        </w:tc>
      </w:tr>
    </w:tbl>
    <w:p>
      <w:pPr>
        <w:pStyle w:val="Heading1"/>
      </w:pPr>
      <w:r>
        <w:t>4. Twenty interview questions</w:t>
      </w:r>
    </w:p>
    <w:p>
      <w:r>
        <w:t>Ask: 1 monthly enquiry volume; 2 peak hours; 3 channel mix; 4 time to first response; 5 abandoned enquiries; 6 proportion complete at intake; 7 missing fields; 8 quote frequency; 9 quote time; 10 average basket; 11 win rate; 12 manually retyped fields; 13 CRM; 14 calendar; 15 approval authority; 16 complaint/error rate; 17 current automation; 18 data/security concerns; 19 budget owner and replacement options; 20 conditions for paying for a pilot. For each collect source, interviewee role and confidence.</w:t>
      </w:r>
    </w:p>
    <w:p>
      <w:pPr>
        <w:pStyle w:val="Heading1"/>
      </w:pPr>
      <w:r>
        <w:t>5. Commercial discovery and presentation</w:t>
      </w:r>
    </w:p>
    <w:p>
      <w:r>
        <w:t>Present an anonymised journey map followed by a 5-minute synthetic scenario showing lead capture, qualification, draft quote, human approval and CRM output. Never claim the MVP has booked real jobs or produced cash savings without evidence. Present measurable before/after candidate metrics, operational risk controls, what the customer must supply and a draft paid pilot with fixed deliverables. Record precise objections and seek permission for follow-up.</w:t>
      </w:r>
    </w:p>
    <w:p>
      <w:pPr>
        <w:pStyle w:val="Heading1"/>
      </w:pPr>
      <w:r>
        <w:t>6. Outreach and follow-up playbook</w:t>
      </w:r>
    </w:p>
    <w:p>
      <w:r>
        <w:t>BA lead owns targeted contact research and a lawful approach: initial concise hypothesis tied to operations, discovery request, 3–5-day follow-up where appropriate, then a polite close-out. Do not scrape private profiles, mass-message LinkedIn users or auto-message WhatsApp contacts without authorised opt-in and policy compliance. Corporate B2B and individual subscriber rules differ: apply ICO guidance; honour objections and suppression. Maintain one owner and next action per lead.</w:t>
      </w:r>
    </w:p>
    <w:p>
      <w:pPr>
        <w:pStyle w:val="Heading1"/>
      </w:pPr>
      <w:r>
        <w:t>7. Baseline and benefit calculation</w:t>
      </w:r>
    </w:p>
    <w:p>
      <w:r>
        <w:t>Record response-time distribution, qualified enquiries, quote preparation minutes, enquiries lost, quote-to-win, average margin per won job, onboarding/operating costs and data quality. Example: 300 leads/month, 30% require eight minutes avoidable admin -&gt; 24 hours/month of capacity. Apply an evidenced fully loaded hourly rate; do not call this cash savings without workforce or spend changes. Additional recovered revenue requires a comparison against a credible counterfactual, not a simple uplift claim.</w:t>
      </w:r>
    </w:p>
    <w:p>
      <w:pPr>
        <w:pStyle w:val="Heading1"/>
      </w:pPr>
      <w:r>
        <w:t>8. Independent business UAT</w:t>
      </w:r>
    </w:p>
    <w:p>
      <w:r>
        <w:t>BA owns realistic redacted fixtures and expected outcomes. Acceptance: 100% cases show correct tenant, no duplicate leads after resend; 95% required field capture on controlled representative fixtures; 100% final outgoing quotes human-approved; zero unauthorised outbound messages; correct rule-version and VAT calculation; accurate exception and out-of-territory handling. Thresholds are predeclared pilot gates, not promises. Defects logged with severity and reproduction and block launch as appropriate.</w:t>
      </w:r>
    </w:p>
    <w:p>
      <w:pPr>
        <w:pStyle w:val="Heading1"/>
      </w:pPr>
      <w:r>
        <w:t>9. Pilot study plan</w:t>
      </w:r>
    </w:p>
    <w:p>
      <w:r>
        <w:t>Target 10–15 discovery interviews, two design partners and one controlled pilot with historic cases plus new opt-in traffic. Maintain baseline and control/alternative process where possible; record source and denominators. Weekly report: companies contacted, interviews held, eligible partners, evidence packages collected, paid commitments, and validated baseline metrics. Separate survey interest from signed commercial intent.</w:t>
      </w:r>
    </w:p>
    <w:p>
      <w:pPr>
        <w:pStyle w:val="Heading1"/>
      </w:pPr>
      <w:r>
        <w:t>10. Sponsor presentation pack</w:t>
      </w:r>
    </w:p>
    <w:p>
      <w:r>
        <w:t>BA lead should deliver 12-minute presentation: 1 buying problem and personas; 2 current journey; 3 five observations supported by sources; 4 MVP demo script; 5 process risks and regulations; 6 benefit arithmetic; 7 purchasing objections; 8 three pilot opportunities; 9 UAT readiness; 10 clear go/no-go decision and unknowns. Attach anonymised process maps and data provenance. Do not substitute volume of prospect names for actual demand evidence.</w:t>
      </w:r>
    </w:p>
    <w:p>
      <w:pPr>
        <w:pStyle w:val="Heading1"/>
      </w:pPr>
      <w:r>
        <w:t>11. UK regulatory / privacy considerations</w:t>
      </w:r>
    </w:p>
    <w:p>
      <w:r>
        <w:t>Customer messages and business-contact information are personal data when identifiable. Consent/legitimate basis, marketing purpose, provider templates and opt-outs must be assessed for each communication type. The BA team must involve the appropriate privacy owner and not infer marketing consent from a published phone number. Reference: https://ico.org.uk/for-organisations/direct-marketing-and-privacy-and-electronic-communications/business-to-business-marketing/</w:t>
      </w:r>
    </w:p>
    <w:p>
      <w:pPr>
        <w:pStyle w:val="Heading1"/>
      </w:pPr>
      <w:r>
        <w:t>Authorisation and sign-off</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Decision</w:t>
            </w:r>
          </w:p>
        </w:tc>
        <w:tc>
          <w:tcPr>
            <w:tcW w:type="dxa" w:w="2880"/>
          </w:tcPr>
          <w:p>
            <w:r>
              <w:t>Owner / date</w:t>
            </w:r>
          </w:p>
        </w:tc>
      </w:tr>
      <w:tr>
        <w:tc>
          <w:tcPr>
            <w:tcW w:type="dxa" w:w="2880"/>
          </w:tcPr>
          <w:p>
            <w:r>
              <w:t>Product sponsor</w:t>
            </w:r>
          </w:p>
        </w:tc>
        <w:tc>
          <w:tcPr>
            <w:tcW w:type="dxa" w:w="2880"/>
          </w:tcPr>
          <w:p>
            <w:r>
              <w:t>Approve / revise / reject</w:t>
            </w:r>
          </w:p>
        </w:tc>
        <w:tc>
          <w:tcPr>
            <w:tcW w:type="dxa" w:w="2880"/>
          </w:tcPr>
          <w:p>
            <w:r>
              <w:t>________________</w:t>
            </w:r>
          </w:p>
        </w:tc>
      </w:tr>
      <w:tr>
        <w:tc>
          <w:tcPr>
            <w:tcW w:type="dxa" w:w="2880"/>
          </w:tcPr>
          <w:p>
            <w:r>
              <w:t>Technical lead</w:t>
            </w:r>
          </w:p>
        </w:tc>
        <w:tc>
          <w:tcPr>
            <w:tcW w:type="dxa" w:w="2880"/>
          </w:tcPr>
          <w:p>
            <w:r>
              <w:t>Approve / revise / reject</w:t>
            </w:r>
          </w:p>
        </w:tc>
        <w:tc>
          <w:tcPr>
            <w:tcW w:type="dxa" w:w="2880"/>
          </w:tcPr>
          <w:p>
            <w:r>
              <w:t>________________</w:t>
            </w:r>
          </w:p>
        </w:tc>
      </w:tr>
      <w:tr>
        <w:tc>
          <w:tcPr>
            <w:tcW w:type="dxa" w:w="2880"/>
          </w:tcPr>
          <w:p>
            <w:r>
              <w:t>Security / compliance</w:t>
            </w:r>
          </w:p>
        </w:tc>
        <w:tc>
          <w:tcPr>
            <w:tcW w:type="dxa" w:w="2880"/>
          </w:tcPr>
          <w:p>
            <w:r>
              <w:t>Approve / revise / reject</w:t>
            </w:r>
          </w:p>
        </w:tc>
        <w:tc>
          <w:tcPr>
            <w:tcW w:type="dxa" w:w="2880"/>
          </w:tcPr>
          <w:p>
            <w:r>
              <w:t>________________</w:t>
            </w:r>
          </w:p>
        </w:tc>
      </w:tr>
    </w:tbl>
    <w:sectPr w:rsidR="00FC693F" w:rsidRPr="0006063C" w:rsidSect="00034616">
      <w:pgSz w:w="12240" w:h="15840"/>
      <w:pgMar w:top="1123"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F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2F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2F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