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60"/>
      </w:pPr>
      <w:r>
        <w:rPr>
          <w:rFonts w:ascii="Space Grotesk" w:hAnsi="Space Grotesk" w:cs="Space Grotesk"/>
          <w:b/>
          <w:color w:val="E94445"/>
          <w:sz w:val="34"/>
          <w:szCs w:val="34"/>
        </w:rPr>
        <w:t xml:space="preserve">Gravity — Script video marketing (2 minuti)</w:t>
      </w:r>
    </w:p>
    <w:p>
      <w:pPr>
        <w:spacing w:after="360"/>
      </w:pPr>
      <w:r>
        <w:rPr>
          <w:color w:val="666666"/>
          <w:sz w:val="20"/>
          <w:szCs w:val="20"/>
        </w:rPr>
        <w:t xml:space="preserve">Modello narrativo problem → solution · Doppio formato 16:9 + 9:16 · Versione 1.0 · 13 luglio 2026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Scheda tecnica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Durata: </w:t>
      </w:r>
      <w:r>
        <w:rPr>
          <w:color w:val="434343"/>
        </w:rPr>
        <w:t xml:space="preserve">2:00 (voiceover ≈ 205 parole, ritmo spot ~105 wpm con respiri sui beat visivi).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Target: </w:t>
      </w:r>
      <w:r>
        <w:rPr>
          <w:color w:val="434343"/>
        </w:rPr>
        <w:t xml:space="preserve">media owner e concessionarie pubblicitarie (sell side).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Lingua voiceover: </w:t>
      </w:r>
      <w:r>
        <w:rPr>
          <w:color w:val="434343"/>
        </w:rPr>
        <w:t xml:space="preserve">italiano.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Deliverable: </w:t>
      </w:r>
      <w:r>
        <w:rPr>
          <w:color w:val="434343"/>
        </w:rPr>
        <w:t xml:space="preserve">master orizzontale 16:9 (3840×2160) + versione verticale 9:16 (1080×1920) ricavata per crop centrale dal master.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Vincolo: </w:t>
      </w:r>
      <w:r>
        <w:rPr>
          <w:color w:val="434343"/>
        </w:rPr>
        <w:t xml:space="preserve">nessun footage stock, nessuna persona in scena. Solo motion design generativo (soggetto originale di brand) e screen capture dell'interfaccia Gravity.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1. Concept creativo — «Due forze, un punto d'attrazione»</w:t>
      </w:r>
    </w:p>
    <w:p>
      <w:pPr>
        <w:spacing w:after="180"/>
      </w:pPr>
      <w:r>
        <w:rPr>
          <w:color w:val="434343"/>
        </w:rPr>
        <w:t xml:space="preserve">Il soggetto del video è un'estensione animata del marchio Gravity: due entità sferiche — blu (l'offerta, chi possiede gli spazi) e arancio (la domanda, chi li compra) — che si attraggono lasciando una scia luminosa, fino a convergere in un unico punto dove prende forma il monogramma G. Nessun attore, nessuno stock: il protagonista è la fisica del brand.</w:t>
      </w:r>
    </w:p>
    <w:p>
      <w:pPr>
        <w:spacing w:after="180"/>
      </w:pPr>
      <w:r>
        <w:rPr>
          <w:color w:val="434343"/>
        </w:rPr>
        <w:t xml:space="preserve">La struttura problem → solution è raccontata come passaggio dall'entropia alla convergenza. Prima parte (problema): frammenti di strumenti scollegati — celle di fogli di calcolo, finestre email, PDF — fluttuano nel buio e collidono, ognuno tira in una direzione diversa. Svolta: le due sfere emergono, si attraggono e ordinano il caos. Seconda parte (soluzione): l'interfaccia reale di Gravity in screen capture, montata su beat, dimostra come la piattaforma risolve ciascun attrito mostrato nella prima parte.</w:t>
      </w:r>
    </w:p>
    <w:p>
      <w:pPr>
        <w:spacing w:after="180"/>
      </w:pPr>
      <w:r>
        <w:rPr>
          <w:color w:val="434343"/>
        </w:rPr>
        <w:t xml:space="preserve">Regola di copy: la metafora vive nel segno, mai nel testo. Il voiceover non pronuncia cliché astronomici (orbite, stelle, forza di gravità): parla solo di lavoro, ordine e vendita.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2. Impostazione dual-format (16:9 + 9:16)</w:t>
      </w:r>
    </w:p>
    <w:p>
      <w:pPr>
        <w:spacing w:after="180"/>
      </w:pPr>
      <w:r>
        <w:rPr>
          <w:color w:val="434343"/>
        </w:rPr>
        <w:t xml:space="preserve">Il video è progettato una sola volta e composto per sopravvivere ai due tagli senza rilavorazioni: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Master unico: </w:t>
      </w:r>
      <w:r>
        <w:rPr>
          <w:color w:val="434343"/>
        </w:rPr>
        <w:t xml:space="preserve">si lavora in 3840×2160 (16:9). Tutta l'azione chiave — sfere, testi, dettagli UI — vive nella safe area centrale 9:16 (colonna centrale di ~1215 px sul master 4K). La versione verticale si ottiene per crop centrale.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Movimento centripeto: </w:t>
      </w:r>
      <w:r>
        <w:rPr>
          <w:color w:val="434343"/>
        </w:rPr>
        <w:t xml:space="preserve">il motion design è costruito su traiettorie radiali che convergono verso il centro del frame: la composizione resta leggibile e identica di significato in entrambi i tagli (ed è coerente con il concept del punto d'attrazione).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Testi: </w:t>
      </w:r>
      <w:r>
        <w:rPr>
          <w:color w:val="434343"/>
        </w:rPr>
        <w:t xml:space="preserve">titoli e claim centrati, massimo 2 righe, corpo grande; nessun elemento narrativo ancorato agli angoli. Fa eccezione il pacchetto finale logo+CTA, di cui si prevede una micro-ricomposizione dedicata per il 9:16.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Screen capture UI: </w:t>
      </w:r>
      <w:r>
        <w:rPr>
          <w:color w:val="434343"/>
        </w:rPr>
        <w:t xml:space="preserve">doppio trattamento. In 16:9: schermata intera con lento push-in. In 9:16: detail shot ricomposto sul pannello centrale (drawer, card, calendario), esportando le capture a risoluzione doppia per reggere il crop.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Zona bassa: </w:t>
      </w:r>
      <w:r>
        <w:rPr>
          <w:color w:val="434343"/>
        </w:rPr>
        <w:t xml:space="preserve">supers e sottotitoli dentro la safe area, mai nel 15% inferiore del frame verticale (zona coperta dalle UI social in 9:16).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3. Riferimenti di brand per la produzione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Palette: </w:t>
      </w:r>
      <w:r>
        <w:rPr>
          <w:color w:val="434343"/>
        </w:rPr>
        <w:t xml:space="preserve">Chrysler Blue #3E00FB (offerta) · Coquelicot #FF4A1C (domanda) · Russian Violet #45185C (fondo scuro «spazio») · Baby Powder #FFFFFA (fondo chiaro) · Smoky Black #231C07 (testo). Gradiente di brand: blu → viola → arancio.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Tipografia video: </w:t>
      </w:r>
      <w:r>
        <w:rPr>
          <w:color w:val="434343"/>
        </w:rPr>
        <w:t xml:space="preserve">Inter Tight (titoli/claim, peso leggero) · Inter (supers e sottotitoli). Oswald esclusivamente nel logotipo, mai come font di composizione.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Logo: </w:t>
      </w:r>
      <w:r>
        <w:rPr>
          <w:color w:val="434343"/>
        </w:rPr>
        <w:t xml:space="preserve">logotipo Gravity_type.svg per il pack finale; il monogramma (mark) compare solo come esito dell'animazione di convergenza. Rispettare la safe zone del manuale (2x laterale, x sopra/sotto).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Da evitare: </w:t>
      </w:r>
      <w:r>
        <w:rPr>
          <w:color w:val="434343"/>
        </w:rPr>
        <w:t xml:space="preserve">persone in scena, stock footage, cliché astronomici nel copy, font di brand usati nell'interfaccia mostrata (la UI è quella reale del prodotto).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4. Script scena per scena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1 · 0:00–0:12 — Il lavoro a pezzi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Fondo scuro Russian Violet. Frammenti 3D fluttuano lenti e scollegati: celle di un foglio di calcolo, finestre email, icone PDF, post-it digitali. Ognuno deriva in una direzione diversa. Camera lenta, composizione centrata.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giorno, chi vende spazi pubblicitari lavora così: l'inventory su un foglio Excel, le trattative su un CRM generico, il delivery via email.»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Frammenti disposti in colonna centrale; la deriva avviene dentro la safe area 9:16.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Musica elettronica minimale, pulsazioni irregolari e fuori tempo tra loro. Sound design: micro-glitch a ogni frammento.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2 · 0:12–0:26 — I conflitti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Due frammenti-calendario collidono: le celle si sovrappongono e lampeggiano in arancio (doppia prenotazione). Un documento-permesso mostra un countdown che arriva a zero e si spegne. Un preventivo si duplica in v1, v2, v3 accartocciandosi.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strumento tira in una direzione diversa. E i problemi si scoprono sempre all'ultimo: due campagne sullo stesso impianto, un permesso scaduto, un preventivo rifatto tre volte.»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I tre micro-eventi (conflitto, permesso, preventivo) avvengono in sequenza al centro del frame, uno per beat: in 9:16 si leggono a schermo pieno.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Le pulsazioni accelerano e si sporcano; impatto sordo sulla collisione dei calendari.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3 · 0:26–0:38 — Il costo invisibile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Il caos raggiunge il massimo: i frammenti vorticano. Una sfera arancio (la domanda) attraversa la scena, rallenta, e si allontana verso il buio, fuori campo.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«Non è solo disordine. È energia sottratta alla vendita — e ogni errore è un cliente che la prossima volta compra altrove.»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La sfera arancio esce di scena verso l'alto (non lateralmente): l'uscita resta visibile anche nel crop verticale.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La musica si svuota: resta un battito solo, distante.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4 · 0:38–0:52 — La convergenza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SVOLTA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Freeze del caos. Dal buio emergono due sfere con scia — blu e arancio — che si attraggono con moto a spirale verso il centro del frame. All'incontro: flash bianco, i frammenti si allineano di colpo, e dalla convergenza prende forma il monogramma G. Transizione al fondo chiaro Baby Powder: dalla G si apre l'interfaccia Gravity.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«Gravity mette ordine. Un solo software per organizzare, vendere e ottimizzare i tuoi spazi pubblicitari, su ogni canale: affissioni, DOOH, display web, advertorial.»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È la scena madre ed è nativamente centripeta: identica in entrambi i formati. Il flash bianco è il punto di taglio ideale tra le due metà del video.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Le pulsazioni convergono in un unico battito regolare; «snap» armonico sul flash. Da qui la musica diventa ritmica e pulita.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5 · 0:52–1:04 — L'inventory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Screen capture reale: anagrafica spazi con foto, dati tecnici e prezzi; passaggio alla vista mappa con marker e disponibilità live. Cursore fluido, micro-zoom sui dettagli.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«Tutto il tuo patrimonio in un'unica anagrafica: caratteristiche tecniche, foto, prezzi, disponibilità in tempo reale. Anche su mappa.»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16:9: schermata intera con push-in. 9:16: detail shot sulla card spazio e sul cluster mappa, ricomposti in verticale.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Tick percussivi sincronizzati con le interazioni UI.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6 · 1:04–1:16 — Preventivi e pianificazione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La proposta si compone dall'inventory: righe che si aggiungono, totale che si aggiorna, PDF brandizzato che «si stampa» in un frame. Poi il calendario/Gantt: un conflitto viene rilevato, l'alert lampeggia, lo slot si riposiziona.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«Costruisci la proposta direttamente dall'inventory: preventivo pronto in minuti, PDF con il tuo brand. E il calendario condiviso blocca i conflitti prima che accadano.»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L'alert di conflitto è il richiamo visivo diretto alla Scena 2: stessa posizione nel frame, esito opposto. In 9:16 usare il crop sul singolo slot.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Risoluzione del conflitto marcata da una nota ascendente.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7 · 1:16–1:28 — Permessi e delivery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Dashboard permessi: badge di scadenza 90/30/7 giorni che si accendono in sequenza ordinata. Poi la campagna in erogazione: timeline planned vs actual che avanza, anomalia registrata e risolta con make-good.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permesso è tracciato, con alert automatici a novanta, trenta e sette giorni dalla scadenza. E ogni campagna è monitorata, dal materiale creativo al report finale.»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Badge e timeline disposti in verticale nella colonna centrale: la composizione nasce già pronta per il 9:16.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Tre tick regolari sui badge 90/30/7.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8 · 1:28–1:40 — I numeri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Dashboard executive: grafici che crescono, KPI che si compongono (ricavi, margini, occupancy), export in Excel e PDF con un clic.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«Ricavi, margini, occupancy: i numeri si aggregano da soli, in dashboard pronte per il management.»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Un solo grafico protagonista per inquadratura (mai la dashboard intera in 9:16).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La musica apre: pad più ampio, il battito resta.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9 · 1:40–1:50 — White-label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La stessa interfaccia cambia pelle in morphing: logo, colori e dominio si sostituiscono con quelli di un brand fittizio neutro. Gravity «scompare» dietro l'identità del cliente.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«E con il white-label completo, tutto questo porta il tuo logo, il tuo dominio, il tuo brand.»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Il morphing avviene sull'header dell'interfaccia, centrato; in 9:16 il crop stringe proprio sull'header.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Swoosh morbido sul morphing.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10 · 1:50–2:00 — Claim e CTA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CHIUSURA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Fondo Baby Powder. Claim tipografico su tre righe (Inter Tight, peso leggero): «Nell'advertising, la domanda va dove l'offerta è strategica.» — con domanda evidenziata in arancio, offerta in blu, strategica con marker arancio soft. Le due sfere rientrano, si posano e compongono il monogramma accanto al logotipo Gravity. Super finale: «Richiedi una demo» + [URL sito Gravity].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«Perché nell'advertising, la domanda va dove l'offerta è strategica. Gravity. Richiedi una demo.»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Unica scena con ricomposizione dedicata per il 9:16: claim su 4 righe, pack logo+CTA scalato e ricentrato. Prevedere i due layout già in fase di design.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Risoluzione musicale sul claim; silenzio sul logo, salvo il battito singolo che chiude.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5. Note di export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Orizzontale: </w:t>
      </w:r>
      <w:r>
        <w:rPr>
          <w:color w:val="434343"/>
        </w:rPr>
        <w:t xml:space="preserve">16:9 → 3840×2160 e 1920×1080, H.264/ProRes secondo destinazione (sito, YouTube, presentazioni).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Verticale: </w:t>
      </w:r>
      <w:r>
        <w:rPr>
          <w:color w:val="434343"/>
        </w:rPr>
        <w:t xml:space="preserve">9:16 → 1080×1920 per Reels/TikTok/Shorts e Stories, ottenuto dal master per crop centrale + le ricomposizioni dedicate (Scena 10 e detail shot UI).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Sottotitoli: </w:t>
      </w:r>
      <w:r>
        <w:rPr>
          <w:color w:val="434343"/>
        </w:rPr>
        <w:t xml:space="preserve">prevedere una versione muta con sottotitoli hardcoded (Inter) per l'uso social: l'85% delle visualizzazioni verticali avviene senza audio.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Controllo qualità: </w:t>
      </w:r>
      <w:r>
        <w:rPr>
          <w:color w:val="434343"/>
        </w:rPr>
        <w:t xml:space="preserve">verificare entrambi i tagli su device reale prima della consegna; controllare che nessun testo cada fuori dalla safe area 9:16.</w:t>
      </w:r>
    </w:p>
    <w:p>
      <w:pPr>
        <w:spacing w:before="400" w:after="60"/>
      </w:pPr>
      <w:r>
        <w:rPr>
          <w:color w:val="666666"/>
          <w:sz w:val="18"/>
          <w:szCs w:val="18"/>
        </w:rPr>
        <w:t xml:space="preserve">Documento di lavoro a cura del team design Gravity · CodeSour Tech S.r.l.</w:t>
      </w:r>
    </w:p>
    <w:sectPr w:rsidR="00B45578" w:rsidSect="00E4522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2409" w:right="1440" w:bottom="2099" w:left="1440" w:header="5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2595" w14:textId="77777777" w:rsidR="00AA350C" w:rsidRDefault="00AA350C">
      <w:pPr>
        <w:spacing w:line="240" w:lineRule="auto"/>
      </w:pPr>
      <w:r>
        <w:separator/>
      </w:r>
    </w:p>
  </w:endnote>
  <w:endnote w:type="continuationSeparator" w:id="0">
    <w:p w14:paraId="7FCA3B6D" w14:textId="77777777" w:rsidR="00AA350C" w:rsidRDefault="00AA35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604020202020204"/>
    <w:charset w:val="00"/>
    <w:family w:val="auto"/>
    <w:pitch w:val="default"/>
    <w:embedRegular r:id="rId2" w:fontKey="{858009AE-71EE-5D4A-BAD8-A93BBAF5CDEF}"/>
    <w:embedBold r:id="rId3" w:fontKey="{851E619E-73DE-4E47-AE77-34AD77890E19}"/>
    <w:embedItalic r:id="rId4" w:fontKey="{0C9EE320-3383-844C-9D0C-3FF40186FBA1}"/>
  </w:font>
  <w:font w:name="Space Grotesk">
    <w:panose1 w:val="020B0604020202020204"/>
    <w:charset w:val="00"/>
    <w:family w:val="auto"/>
    <w:pitch w:val="default"/>
    <w:embedRegular r:id="rId5" w:fontKey="{FDD7CCB8-ED0E-ED4A-B0D8-C4CD52C37511}"/>
    <w:embedBold r:id="rId6" w:fontKey="{1A2B5653-19C3-774B-B030-A0032557BE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2632" w14:textId="77777777" w:rsidR="00B45578" w:rsidRDefault="00000000" w:rsidP="00E45226">
    <w:pPr>
      <w:tabs>
        <w:tab w:val="center" w:pos="4819"/>
        <w:tab w:val="right" w:pos="9638"/>
      </w:tabs>
      <w:spacing w:line="276" w:lineRule="auto"/>
      <w:ind w:left="7920"/>
      <w:jc w:val="left"/>
    </w:pPr>
    <w:r>
      <w:rPr>
        <w:rFonts w:ascii="Calibri" w:eastAsia="Calibri" w:hAnsi="Calibri" w:cs="Calibri"/>
        <w:sz w:val="20"/>
        <w:szCs w:val="20"/>
      </w:rPr>
      <w:t xml:space="preserve">. </w:t>
    </w:r>
    <w:r>
      <w:tab/>
    </w:r>
    <w:r>
      <w:rPr>
        <w:rFonts w:ascii="Calibri" w:eastAsia="Calibri" w:hAnsi="Calibri" w:cs="Calibri"/>
        <w:sz w:val="20"/>
        <w:szCs w:val="20"/>
      </w:rPr>
      <w:t xml:space="preserve">pag. </w:t>
    </w:r>
    <w:r>
      <w:rPr>
        <w:rFonts w:ascii="Cambria" w:eastAsia="Cambria" w:hAnsi="Cambria" w:cs="Cambria"/>
        <w:sz w:val="20"/>
        <w:szCs w:val="20"/>
      </w:rPr>
      <w:fldChar w:fldCharType="begin"/>
    </w:r>
    <w:r>
      <w:rPr>
        <w:rFonts w:ascii="Cambria" w:eastAsia="Cambria" w:hAnsi="Cambria" w:cs="Cambria"/>
        <w:sz w:val="20"/>
        <w:szCs w:val="20"/>
      </w:rPr>
      <w:instrText>PAGE</w:instrText>
    </w:r>
    <w:r>
      <w:rPr>
        <w:rFonts w:ascii="Cambria" w:eastAsia="Cambria" w:hAnsi="Cambria" w:cs="Cambria"/>
        <w:sz w:val="20"/>
        <w:szCs w:val="20"/>
      </w:rPr>
      <w:fldChar w:fldCharType="separate"/>
    </w:r>
    <w:r w:rsidR="00E45226">
      <w:rPr>
        <w:rFonts w:ascii="Cambria" w:eastAsia="Cambria" w:hAnsi="Cambria" w:cs="Cambria"/>
        <w:noProof/>
        <w:sz w:val="20"/>
        <w:szCs w:val="20"/>
      </w:rPr>
      <w:t>1</w:t>
    </w:r>
    <w:r>
      <w:rPr>
        <w:rFonts w:ascii="Cambria" w:eastAsia="Cambria" w:hAnsi="Cambria" w:cs="Cambria"/>
        <w:sz w:val="20"/>
        <w:szCs w:val="20"/>
      </w:rPr>
      <w:fldChar w:fldCharType="end"/>
    </w:r>
  </w:p>
  <w:p w14:paraId="4C132F5E" w14:textId="77777777" w:rsidR="00B45578" w:rsidRDefault="00B4557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jc w:val="left"/>
      <w:rPr>
        <w:b/>
        <w:bCs/>
      </w:rPr>
    </w:pPr>
  </w:p>
  <w:p w14:paraId="170D15DF" w14:textId="6E49623B" w:rsidR="00B45578" w:rsidRDefault="00000000" w:rsidP="00E4522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76" w:lineRule="auto"/>
      <w:jc w:val="center"/>
      <w:rPr>
        <w:b/>
        <w:bCs/>
        <w:lang w:val="en-US"/>
      </w:rPr>
    </w:pPr>
    <w:r w:rsidRPr="00E45226">
      <w:rPr>
        <w:b/>
        <w:bCs/>
        <w:lang w:val="en-US"/>
      </w:rPr>
      <w:t>CodeSour Tech S.r.l.</w:t>
    </w:r>
  </w:p>
  <w:p w14:paraId="4353EAF7" w14:textId="0A7AFB0E" w:rsidR="00B45578" w:rsidRPr="00E45226" w:rsidRDefault="00E45226" w:rsidP="00E4522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76" w:lineRule="auto"/>
      <w:jc w:val="center"/>
      <w:rPr>
        <w:color w:val="666666"/>
        <w:sz w:val="16"/>
      </w:rPr>
    </w:pPr>
    <w:r>
      <w:rPr>
        <w:color w:val="666666"/>
        <w:sz w:val="16"/>
      </w:rPr>
      <w:t xml:space="preserve">Sede Legale </w:t>
    </w:r>
    <w:r w:rsidR="00000000" w:rsidRPr="00E45226">
      <w:rPr>
        <w:color w:val="666666"/>
        <w:sz w:val="16"/>
      </w:rPr>
      <w:t>Via Paolo da Cannobio 10 20123 Milano (MI)</w:t>
    </w:r>
  </w:p>
  <w:p w14:paraId="0569E5B8" w14:textId="77777777" w:rsidR="00B45578" w:rsidRDefault="00000000" w:rsidP="00E45226">
    <w:pPr>
      <w:spacing w:line="276" w:lineRule="auto"/>
      <w:jc w:val="center"/>
    </w:pPr>
    <w:r>
      <w:rPr>
        <w:color w:val="666666"/>
        <w:sz w:val="16"/>
      </w:rPr>
      <w:t>Sede operativa: Via Pietro Nenni 28, 90146 Palermo (PA)</w:t>
    </w:r>
  </w:p>
  <w:p w14:paraId="4A9E6B1B" w14:textId="77777777" w:rsidR="00B45578" w:rsidRDefault="00000000" w:rsidP="00E45226">
    <w:pPr>
      <w:spacing w:line="276" w:lineRule="auto"/>
      <w:jc w:val="center"/>
    </w:pPr>
    <w:r>
      <w:rPr>
        <w:color w:val="666666"/>
        <w:sz w:val="16"/>
      </w:rPr>
      <w:t>P.IVA 03542960822  |  Codice Univoco M5UXCR1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1D01" w14:textId="77777777" w:rsidR="00AA350C" w:rsidRDefault="00AA350C">
      <w:pPr>
        <w:spacing w:line="240" w:lineRule="auto"/>
      </w:pPr>
      <w:r>
        <w:separator/>
      </w:r>
    </w:p>
  </w:footnote>
  <w:footnote w:type="continuationSeparator" w:id="0">
    <w:p w14:paraId="3CC0C3C5" w14:textId="77777777" w:rsidR="00AA350C" w:rsidRDefault="00AA35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9D4C" w14:textId="77777777" w:rsidR="00B45578" w:rsidRDefault="00AA350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  <w:r>
      <w:rPr>
        <w:color w:val="000000"/>
      </w:rPr>
      <w:pict w14:anchorId="1BE15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620pt;height:877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2663" w14:textId="77777777" w:rsidR="00B45578" w:rsidRDefault="00AA350C">
    <w:r>
      <w:pict w14:anchorId="2E4E7E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-84.5pt;margin-top:-113.65pt;width:620.25pt;height:821.55pt;z-index:-251659776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1" croptop="1121f" cropbottom="-1121f"/>
          <w10:wrap anchorx="margin" anchory="margin"/>
        </v:shape>
      </w:pict>
    </w:r>
  </w:p>
  <w:p w14:paraId="540E7077" w14:textId="77777777" w:rsidR="00B45578" w:rsidRDefault="00B45578"/>
  <w:p w14:paraId="48FD7087" w14:textId="77777777" w:rsidR="00B45578" w:rsidRDefault="00B45578"/>
  <w:p w14:paraId="3DD2C914" w14:textId="77777777" w:rsidR="00B45578" w:rsidRDefault="00B455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5A14" w14:textId="77777777" w:rsidR="00B45578" w:rsidRDefault="00AA350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  <w:r>
      <w:rPr>
        <w:color w:val="000000"/>
      </w:rPr>
      <w:pict w14:anchorId="07A757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620pt;height:877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ADC"/>
    <w:multiLevelType w:val="multilevel"/>
    <w:tmpl w:val="4B4AA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C7EFC"/>
    <w:multiLevelType w:val="multilevel"/>
    <w:tmpl w:val="DCB21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587015">
    <w:abstractNumId w:val="0"/>
  </w:num>
  <w:num w:numId="2" w16cid:durableId="933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578"/>
    <w:rsid w:val="00AA350C"/>
    <w:rsid w:val="00AD566B"/>
    <w:rsid w:val="00B45578"/>
    <w:rsid w:val="00E4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2D46D"/>
  <w15:docId w15:val="{B880C478-79FD-F84E-A5F4-AA3460E9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it" w:eastAsia="it-I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rFonts w:ascii="Space Grotesk" w:eastAsia="Space Grotesk" w:hAnsi="Space Grotesk" w:cs="Space Grotesk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rFonts w:ascii="Space Grotesk" w:eastAsia="Space Grotesk" w:hAnsi="Space Grotesk" w:cs="Space Grotesk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rFonts w:ascii="Space Grotesk" w:eastAsia="Space Grotesk" w:hAnsi="Space Grotesk" w:cs="Space Grotesk"/>
      <w:sz w:val="48"/>
      <w:szCs w:val="4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Intestazione">
    <w:name w:val="header"/>
    <w:link w:val="IntestazioneCarattere"/>
    <w:uiPriority w:val="99"/>
    <w:unhideWhenUsed/>
    <w:rsid w:val="009B672E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672E"/>
  </w:style>
  <w:style w:type="paragraph" w:styleId="Pidipagina">
    <w:name w:val="footer"/>
    <w:link w:val="PidipaginaCarattere"/>
    <w:uiPriority w:val="99"/>
    <w:unhideWhenUsed/>
    <w:rsid w:val="009B672E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672E"/>
  </w:style>
  <w:style w:type="paragraph" w:styleId="Sommario1">
    <w:name w:val="toc 1"/>
    <w:autoRedefine/>
    <w:uiPriority w:val="39"/>
    <w:unhideWhenUsed/>
    <w:rsid w:val="002A0A5F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2A0A5F"/>
    <w:rPr>
      <w:color w:val="0000FF" w:themeColor="hyperlink"/>
      <w:u w:val="single"/>
    </w:rPr>
  </w:style>
  <w:style w:type="paragraph" w:styleId="Paragrafoelenco">
    <w:name w:val="List Paragraph"/>
    <w:uiPriority w:val="34"/>
    <w:qFormat/>
    <w:rsid w:val="00111D4A"/>
    <w:pPr>
      <w:ind w:left="720"/>
      <w:contextualSpacing/>
    </w:pPr>
  </w:style>
  <w:style w:type="paragraph" w:styleId="Sommario2">
    <w:name w:val="toc 2"/>
    <w:autoRedefine/>
    <w:uiPriority w:val="39"/>
    <w:unhideWhenUsed/>
    <w:rsid w:val="00A03330"/>
    <w:pPr>
      <w:spacing w:after="100"/>
      <w:ind w:left="220"/>
    </w:pPr>
  </w:style>
  <w:style w:type="paragraph" w:styleId="NormaleWeb">
    <w:name w:val="Normal (Web)"/>
    <w:uiPriority w:val="99"/>
    <w:semiHidden/>
    <w:unhideWhenUsed/>
    <w:rsid w:val="00567D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2">
    <w:basedOn w:val="TableNormal4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styleId="Numeropagina">
    <w:name w:val="page number"/>
    <w:basedOn w:val="Carpredefinitoparagrafo"/>
    <w:uiPriority w:val="99"/>
    <w:semiHidden/>
    <w:unhideWhenUsed/>
    <w:rsid w:val="00B6550F"/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i5Nxwe7a3BqbH0KMljdJBI3Gg==">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Giovanni Alessi '92</cp:lastModifiedBy>
  <cp:revision>2</cp:revision>
  <dcterms:created xsi:type="dcterms:W3CDTF">2026-04-28T15:58:00Z</dcterms:created>
  <dcterms:modified xsi:type="dcterms:W3CDTF">2026-04-28T15:58:00Z</dcterms:modified>
</cp:coreProperties>
</file>