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Tabelas — Esquema Vacinal Completo vs. Incompleto e Óbito Hospitalar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7606A"/>
          <w:sz w:val="18"/>
          <w:szCs w:val="18"/>
        </w:rPr>
        <w:t xml:space="preserve">703pacientes.xlsx | Esquema completo = 2 doses (Pfizer/AstraZeneca/Coronavac) ou 1 dose (Janssen); esquema incompleto inclui não vacinados.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Tabela 1. Razão de chances (Odds Ratio) para óbito hospitalar segundo o esquema vacinal (n = 703; 274 óbitos).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900"/>
        <w:gridCol w:w="1800"/>
        <w:gridCol w:w="2400"/>
        <w:gridCol w:w="1400"/>
        <w:gridCol w:w="2400"/>
        <w:gridCol w:w="1400"/>
      </w:tblGrid>
      <w:tr>
        <w:trPr>
          <w:tblHeader/>
        </w:trPr>
        <w:tc>
          <w:tcPr>
            <w:tcW w:type="dxa" w:w="3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Esquema vacinal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Óbitos (%)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OR bruto (IC95%)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 (bruto)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OR ajustado (IC95%)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 (ajustado)</w:t>
            </w:r>
          </w:p>
        </w:tc>
      </w:tr>
      <w:tr>
        <w:tc>
          <w:tcPr>
            <w:tcW w:type="dxa" w:w="3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 (referência)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(41,0%)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Incompleto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249 (38,8%)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3,15 (1,61–6,17)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&lt;0,001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3,74 (1,55–9,05)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0,003</w:t>
            </w:r>
          </w:p>
        </w:tc>
      </w:tr>
    </w:tbl>
    <w:p>
      <w:pPr>
        <w:spacing w:after="300" w:before="140"/>
      </w:pPr>
      <w:r>
        <w:rPr>
          <w:rFonts w:ascii="Calibri" w:cs="Calibri" w:eastAsia="Calibri" w:hAnsi="Calibri"/>
          <w:i/>
          <w:iCs/>
          <w:color w:val="57606A"/>
          <w:sz w:val="18"/>
          <w:szCs w:val="18"/>
        </w:rPr>
        <w:t xml:space="preserve">OR = Odds Ratio; IC95% = Intervalo de Confiança de 95%. Referência: esquema vacinal completo. Modelo ajustado por sexo, comorbidades, idade, estado civil, escolaridade e tempo de internação. Fonte: 703pacientes.xlsx.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Tabela 2. Sobrevida hospitalar (Kaplan-Meier) e razão de risco de Cox (HR) ajustada por ano, segundo o esquema vacinal, 2021–2022 (n = 496).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500"/>
        <w:gridCol w:w="2700"/>
        <w:gridCol w:w="3020"/>
        <w:gridCol w:w="282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Esquema vacinal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Log-rank — data de admissão (p)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Log-rank — tempo de internação (p)</w:t>
            </w:r>
          </w:p>
        </w:tc>
        <w:tc>
          <w:tcPr>
            <w:tcW w:type="dxa" w:w="30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HR de Cox ajustado — data de admissão (IC95%) / p</w:t>
            </w:r>
          </w:p>
        </w:tc>
        <w:tc>
          <w:tcPr>
            <w:tcW w:type="dxa" w:w="2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HR de Cox ajustado — tempo de internação (IC95%) / p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Incompleto (referência)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435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 / —</w:t>
            </w:r>
          </w:p>
        </w:tc>
        <w:tc>
          <w:tcPr>
            <w:tcW w:type="dxa" w:w="2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 / —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&lt;0,001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0,016</w:t>
            </w:r>
          </w:p>
        </w:tc>
        <w:tc>
          <w:tcPr>
            <w:tcW w:type="dxa" w:w="30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0,50 (0,27–0,92) / 0,025</w:t>
            </w:r>
          </w:p>
        </w:tc>
        <w:tc>
          <w:tcPr>
            <w:tcW w:type="dxa" w:w="2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0,71 (0,37–1,33) / 0,281</w:t>
            </w:r>
          </w:p>
        </w:tc>
      </w:tr>
    </w:tbl>
    <w:p>
      <w:pPr>
        <w:spacing w:after="300" w:before="140"/>
      </w:pPr>
      <w:r>
        <w:rPr>
          <w:rFonts w:ascii="Calibri" w:cs="Calibri" w:eastAsia="Calibri" w:hAnsi="Calibri"/>
          <w:i/>
          <w:iCs/>
          <w:color w:val="57606A"/>
          <w:sz w:val="18"/>
          <w:szCs w:val="18"/>
        </w:rPr>
        <w:t xml:space="preserve">HR = Hazard Ratio (razão de risco); IC95% = Intervalo de Confiança de 95%. Evento = óbito; alta hospitalar = censura. Modelo de Cox ajustado por ano de internação. Restrito a pacientes admitidos em 2021–2022 (período com vacinação disponível). Fonte: 703pacientes.xlsx.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2026-10-04T06:52:40.898Z</dcterms:created>
  <dcterms:modified xsi:type="dcterms:W3CDTF">2026-10-04T06:52:40.898Z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