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04BE5">
      <w:pPr>
        <w:pStyle w:val="5"/>
      </w:pPr>
      <w:r>
        <w:t>实习报告</w:t>
      </w:r>
    </w:p>
    <w:p w14:paraId="7FE8DB78">
      <w:pPr>
        <w:pStyle w:val="6"/>
      </w:pPr>
      <w:r>
        <w:t>实习部门：　　　　　　　　　　姓名：顾彦航</w:t>
      </w:r>
    </w:p>
    <w:p w14:paraId="2B1C8EE2">
      <w:pPr>
        <w:pStyle w:val="7"/>
      </w:pPr>
      <w:r>
        <w:t>一、主要工作内容</w:t>
      </w:r>
    </w:p>
    <w:p w14:paraId="6D33AF71">
      <w:pPr>
        <w:pStyle w:val="8"/>
      </w:pPr>
      <w:r>
        <w:t>1、项目背景与目标</w:t>
      </w:r>
    </w:p>
    <w:p w14:paraId="25854F88">
      <w:pPr>
        <w:pStyle w:val="9"/>
      </w:pPr>
      <w:r>
        <w:t>1.1 银行运维智能化建设的紧迫性</w:t>
      </w:r>
    </w:p>
    <w:p w14:paraId="48997ABE">
      <w:pPr>
        <w:pStyle w:val="10"/>
      </w:pPr>
      <w:r>
        <w:t>随着银行业务持续向线上化、实时化和平台化发展，信息系统已经由若干相对独立的业务应用，演变为覆盖服务器、数据库、中间件、网络、监控平台及外部维保单位的复杂技术体系。核心交易、网银、移动金融及数据服务具有连续运行要求，任何局部异常都可能沿依赖关系扩散，最终影响业务可用性。因此，银行运维工作不仅需要处理日常资产查询、健康巡检和状态汇总，还必须在突发故障发生后迅速完成对象定位、信息核验、原因分析、处置建议生成及跨团队协同。</w:t>
      </w:r>
    </w:p>
    <w:p w14:paraId="3E31E9F0">
      <w:pPr>
        <w:pStyle w:val="10"/>
      </w:pPr>
      <w:r>
        <w:t>传统运维模式主要依靠人工在监控平台、资产台账、历史工单和厂商通讯录之间切换。面对低频、明确的问题时，该模式能够满足基本要求；但在夜间值守、集中告警或人员交接场景下，容易出现信息分散、响应速度受个人经验影响、同类问题重复分析以及处置过程难以沉淀等情况。监控系统虽然能够产生告警，却通常不能自动解释异常与业务对象之间的关系；知识库虽然能够保存文档，却难以根据当前故障主动召回最相关的经验。由此，银行运维智能化的核心矛盾不只是缺少数据，而是缺少能够持续理解任务、关联数据并协助推进处置流程的智能执行主体。</w:t>
      </w:r>
    </w:p>
    <w:p w14:paraId="3B9B770E">
      <w:pPr>
        <w:pStyle w:val="9"/>
      </w:pPr>
      <w:r>
        <w:t>1.2 Agent 对智能运维的适用性</w:t>
      </w:r>
    </w:p>
    <w:p w14:paraId="62EBA447">
      <w:pPr>
        <w:pStyle w:val="10"/>
      </w:pPr>
      <w:r>
        <w:t>大语言模型具备自然语言理解、信息归纳和推理能力，但单次模型问答仍属于开环生成，无法保证所依据的资产状态真实，也不能持续管理任务状态。Agent 在模型基础上进一步引入计划、工具、记忆和技能机制：Plan 用于将模糊目标分解为可执行步骤；Tool 用于查询数据库、设备状态和厂商信息，使结论建立在真实环境反馈之上；Memory 用于保存当前会话状态和可复用运维经验；Skill 用于将告警诊断、巡检汇总等领域流程固化为可重复执行的工作方法。上述能力共同形成“理解任务—选择动作—获取反馈—修正判断—形成结果”的闭环。</w:t>
      </w:r>
    </w:p>
    <w:p w14:paraId="1319FDC6">
      <w:pPr>
        <w:pStyle w:val="10"/>
      </w:pPr>
      <w:r>
        <w:t>银行运维场景具有任务边界相对清晰、数据来源较为确定、重复流程较多和风险分级明确等特点，适合采用受约束的 Agent 辅助模式。数字员工可以自动完成只读查询、知识检索、内容汇总和预先授权的通知任务，同时将配置修改、服务启停、生产命令等高风险动作保留给授权人员。通过这种分工，Agent 的价值不是替代运维人员作出最终生产决策，而是缩短信号发现、信息搜集和初步判断的时间，提高日常工作与应急处置的连续性。</w:t>
      </w:r>
    </w:p>
    <w:p w14:paraId="128A70ED">
      <w:pPr>
        <w:pStyle w:val="9"/>
      </w:pPr>
      <w:r>
        <w:t>1.3 项目建设目标与能力边界</w:t>
      </w:r>
    </w:p>
    <w:p w14:paraId="46AD3F5E">
      <w:pPr>
        <w:pStyle w:val="10"/>
      </w:pPr>
      <w:r>
        <w:t>本项目以构建“7×24小时在线的银行运维数字员工”为总体目标，使系统能够高效处理日常任务并协助应急故障处置。在日常场景中，数字员工承担基础设施信息查询、机器运行状态汇总、维保厂商检索、健康巡检、运维简报生成和每日邮件投递；在应急场景中，数字员工根据告警对象自动关联资产、状态、历史经验和厂商联系人，形成事实、推断和待核实事项相互区分的诊断建议。</w:t>
      </w:r>
    </w:p>
    <w:p w14:paraId="68AAAE14">
      <w:pPr>
        <w:pStyle w:val="10"/>
        <w:rPr/>
      </w:pPr>
      <w:r>
        <w:t>项目同时确定三项工程目标。其一，建立统一且易用的运维工作台，将资产、监控、对话、日程和通知入口集中呈现。其二，建设可持续演进的共享运维知识体系，使经确认的制度和排障经验能够跨会话复用，同时隔离用户会话和敏感数据。其三，构建兼顾“随问随答”与“持续在线”的智能运维能力，既支持用户通过自然语言进行实时咨询、诊断和任务执行，又通过后台常驻任务持续开展监控、异常发现、主动诊断和通知，实现从被动响应到主动运维的能力延伸。</w:t>
      </w:r>
    </w:p>
    <w:p w14:paraId="4027FFE1">
      <w:pPr>
        <w:pStyle w:val="10"/>
      </w:pPr>
      <w:r>
        <w:t>数字员工的执行边界由后端程序确定。模型不能读取账户密码、邮箱授权码等凭据，不能自行改变发件身份，也不具备 Shell、任意 SQL 或任意文件操作权限。设备状态与资产信息必须由 Tool 返回，邮件等外部动作必须经过身份复核和参数校验，高风险生产操作仍由人工执行。该边界既满足银行场景的审慎要求，也避免将模型概率性输出直接转化为不可逆操作。</w:t>
      </w:r>
    </w:p>
    <w:p w14:paraId="1DB3D81A">
      <w:pPr>
        <w:pStyle w:val="8"/>
      </w:pPr>
      <w:r>
        <w:t>2、Agent 总体架构</w:t>
      </w:r>
    </w:p>
    <w:p w14:paraId="27CC198A">
      <w:pPr>
        <w:pStyle w:val="9"/>
      </w:pPr>
      <w:r>
        <w:t>2.1 需求分析与架构原则</w:t>
      </w:r>
    </w:p>
    <w:p w14:paraId="6B8F07C3">
      <w:pPr>
        <w:pStyle w:val="10"/>
      </w:pPr>
      <w:r>
        <w:t>根据建设目标，系统需求可分为业务能力与非功能能力两类。业务层需要支持多用户登录、独立会话、机器与数据中心查询、维保厂商管理、附件理解、运维知识检索、日程执行、邮件投递和主动监控；非功能层需要保证身份隔离、任务持久化、并发控制、模型容错、敏感信息保护、运行可观测和部署可恢复。由于附件解析、模型生成和多工具调用可能持续较长时间，系统还必须处理页面刷新、网络中断和重复提交，而不能将浏览器连接状态等同于后端任务状态。</w:t>
      </w:r>
    </w:p>
    <w:p w14:paraId="204F85CA">
      <w:pPr>
        <w:pStyle w:val="10"/>
      </w:pPr>
      <w:r>
        <w:t>总体设计遵循分层解耦、最小权限、状态外置和组件可替换原则。交互层负责用户操作与结果展示，应用层负责认证、业务路由和任务编排，Agent 层负责语义理解与工具选择，数据层负责持久状态与并发协调，模型网关层负责屏蔽上游模型差异，嵌入层负责本地语义向量生成。各层通过明确接口协作，使模型、数据库、缓存或嵌入服务能够独立替换和扩展，避免业务逻辑直接绑定某一家模型供应商。</w:t>
      </w:r>
    </w:p>
    <w:p w14:paraId="25A5BB43">
      <w:pPr>
        <w:pStyle w:val="9"/>
      </w:pPr>
      <w:r>
        <w:t>2.2 技术选型与职责划分</w:t>
      </w:r>
    </w:p>
    <w:p w14:paraId="15202112">
      <w:pPr>
        <w:pStyle w:val="10"/>
      </w:pPr>
      <w:r>
        <w:t>应用服务采用 TypeScript 与 Fastify。TypeScript 的类型系统有利于约束工具参数、任务状态和接口返回结构，Fastify 则提供较低开销的 HTTP 服务、插件机制和模式校验能力。Agent 运行时采用 Letta Agent SDK，用于管理共享 Agent、会话状态、工具调用和本地记忆文件。模型访问统一经过 LiteLLM，以 OpenAI 兼容接口连接 MiniMax 主模型及 Kimi、GLM 等备用模型，使上层 Agent 不需要分别适配不同供应商协议。</w:t>
      </w:r>
    </w:p>
    <w:p w14:paraId="545CDED8">
      <w:pPr>
        <w:pStyle w:val="10"/>
      </w:pPr>
      <w:r>
        <w:t>持久数据使用 PostgreSQL，并通过 pgvector 扩展同时保存业务记录和知识向量。该选择避免额外引入独立向量数据库，便于在同一事务体系中维护用户、会话、Turn、日程、附件解析结果和向量索引。Redis 用于分布式锁、全局并发信号量、登录限流和短期任务状态，适合承载高频、带有效期且需要原子操作的协调数据。长期记忆的嵌入模型选择 BGE-M3，并通过 Infinity 在本地 CPU 环境中采用 INT8 方式部署，降低外部数据传输与额外推理成本。</w:t>
      </w:r>
    </w:p>
    <w:p w14:paraId="26A6BD3D">
      <w:pPr>
        <w:pStyle w:val="10"/>
      </w:pPr>
      <w:r>
        <w:t>前端采用服务器提供的运维工作台页面，并在浏览器侧完成流式片段组装、Markdown 与 KaTeX 渲染、附件选择和上传进度展示。模型输出在展示前经过 DOMPurify 清洗。整体技术选型围绕“工程可控”展开：模型负责理解和生成，真实数据由 Tool 提供，权限与副作用由后端决定，状态由 PostgreSQL 和 Redis 保存，长期知识以可审阅的 Markdown 原文为事实来源。</w:t>
      </w:r>
    </w:p>
    <w:p w14:paraId="2340A520">
      <w:pPr>
        <w:pStyle w:val="9"/>
      </w:pPr>
      <w:r>
        <w:t>2.3 Docker Compose 五容器编排</w:t>
      </w:r>
    </w:p>
    <w:p w14:paraId="2E3E3A4B">
      <w:pPr>
        <w:pStyle w:val="10"/>
      </w:pPr>
      <w:r>
        <w:t>当前系统通过 Docker Compose 编排 api、litellm、postgres、embeddings 和 redis 五个容器。api 容器是唯一面向浏览器开放业务端口的应用入口，内部运行 Web 页面、REST 接口、Letta Agent Runtime、任务调度器、后台记忆回溯和主动监控服务。该容器将根文件系统设置为只读，仅为临时目录和工作目录提供 tmpfs，并使用 no-new-privileges 与能力集清空策略限制容器权限，从部署层面减小应用被利用后的影响范围。</w:t>
      </w:r>
    </w:p>
    <w:p w14:paraId="034B4AD8">
      <w:pPr>
        <w:pStyle w:val="10"/>
      </w:pPr>
      <w:r>
        <w:t>litellm 容器部署仓库内的本地模型代理，对内暴露模型兼容接口，对外转发至已配置的上游模型服务。它负责统一模型名称与请求格式，并将模型调用追踪发送至 Langfuse。将 LiteLLM 独立成容器的原因在于模型网关属于跨业务复用的基础能力，其版本、配置、健康状态和资源限制应与应用服务分开管理；同时，应用只访问 Compose 内部网络中的网关地址，不直接持有多个上游调用实现。</w:t>
      </w:r>
    </w:p>
    <w:p w14:paraId="60F84929">
      <w:pPr>
        <w:pStyle w:val="10"/>
      </w:pPr>
      <w:r>
        <w:t>postgres 容器采用带 pgvector 的 PostgreSQL 16 镜像，保存用户、会话、Turn、日程、邮件配置元数据、附件结构化结果及共享记忆向量。redis 容器启用 AOF 和周期快照，保存会话锁、并发租约、登录限流及运行中任务状态。embeddings 容器运行 Infinity 0.0.77 CPU 版本，加载 BGE-M3 模型并以 INT8、批量大小4的配置生成1024维向量。嵌入模型缓存通过独立卷持久化，避免每次重建容器都重新下载模型。</w:t>
      </w:r>
    </w:p>
    <w:p w14:paraId="29A02D38">
      <w:pPr>
        <w:pStyle w:val="10"/>
      </w:pPr>
      <w:r>
        <w:t>Compose 为不同数据设置四类持久化卷：letta_state 保存 Letta 本地后端和共享 MemFS；postgres_data 保存关系数据与 pgvector 索引；redis_data 保存 Redis AOF 与快照；bge_model_cache 保存嵌入模型文件。应用数据、协调状态和可重建缓存分卷保存，使备份、迁移和故障恢复可以按数据价值分别处理。各容器配置独立内存上限，避免单一组件失控挤占整机资源。</w:t>
      </w:r>
    </w:p>
    <w:p w14:paraId="195F344A">
      <w:pPr>
        <w:pStyle w:val="9"/>
      </w:pPr>
      <w:r>
        <w:t>2.4 容器调用链路及设计依据</w:t>
      </w:r>
    </w:p>
    <w:p w14:paraId="4E2302A3">
      <w:pPr>
        <w:pStyle w:val="10"/>
      </w:pPr>
      <w:r>
        <w:t>交互式请求的主链路为“浏览器—api—Agent 编排—Tool/Memory—litellm—上游模型—api—浏览器”。用户请求首先由 api 完成会话认证和资源归属校验，随后加载当前 Conversation 与 Turn 状态，并通过 Redis 获取该会话的分布式锁。需要业务事实时，Agent 调用后端 Tool 查询 PostgreSQL 中的资产与厂商信息；需要长期经验时，api 将查询文本发送到 embeddings，获得向量后在 PostgreSQL 的 pgvector 索引中检索相关片段；需要模型推理时，Letta 通过内部地址调用 litellm，再由网关访问主模型或备用模型。模型和工具结果被持续写入 Turn，并以流式方式返回前端。</w:t>
      </w:r>
    </w:p>
    <w:p w14:paraId="7C43F77E">
      <w:pPr>
        <w:pStyle w:val="10"/>
      </w:pPr>
      <w:r>
        <w:t>依赖启动顺序由 Compose 健康检查控制。api 只有在 PostgreSQL 与 Redis 健康、LiteLLM 健康并且 embeddings 已启动后才进入正常服务，从而避免应用先启动却因依赖尚未就绪产生大量错误。PostgreSQL 使用 pg_isready，Redis 使用 ping，LiteLLM 使用存活接口，api 则提供自身健康检查。所有服务设置</w:t>
      </w:r>
      <w:bookmarkStart w:id="0" w:name="_GoBack"/>
      <w:bookmarkEnd w:id="0"/>
      <w:r>
        <w:t>在异常退出或宿主机重启后自动恢复。</w:t>
      </w:r>
    </w:p>
    <w:p w14:paraId="7BC9A43F">
      <w:pPr>
        <w:pStyle w:val="10"/>
      </w:pPr>
      <w:r>
        <w:t>该架构将持久状态、瞬时协调、语义计算和模型访问分别放入最合适的组件。若将全部能力集中在 api 容器中，模型代理和嵌入模型会与业务服务争抢资源，更新任一组件也需要整体重建；若所有请求直接访问外部模型，又难以统一容错与追踪。因此，五容器方案虽然增加了编排复杂度，却换取了明确的职责边界、独立健康管理、可控资源配额和后续水平扩展能力。</w:t>
      </w:r>
    </w:p>
    <w:p w14:paraId="53999C3B">
      <w:pPr>
        <w:pStyle w:val="8"/>
      </w:pPr>
      <w:r>
        <w:t>3、核心功能模块开发</w:t>
      </w:r>
    </w:p>
    <w:p w14:paraId="5200A213">
      <w:pPr>
        <w:pStyle w:val="9"/>
      </w:pPr>
      <w:r>
        <w:t>3.1 智能运维工作台与资产信息查询</w:t>
      </w:r>
    </w:p>
    <w:p w14:paraId="69986BAE">
      <w:pPr>
        <w:pStyle w:val="10"/>
      </w:pPr>
      <w:r>
        <w:t>系统构建了接近真实运维平台的统一工作台，包括基础设施总览、机器看板、维保厂商目录、智能助手和日常安排等页面。基础设施总览用于呈现数据中心数量、机器状态分布和关键指标；机器看板支持按数据中心、状态、IP 地址或主机名称筛选；厂商目录集中维护服务范围、联系人和响应等级。通过统一导航与身份会话，运维人员可以在同一界面完成状态核验、对象定位和协同信息查询。</w:t>
      </w:r>
    </w:p>
    <w:p w14:paraId="35E30B26">
      <w:pPr>
        <w:pStyle w:val="10"/>
      </w:pPr>
      <w:r>
        <w:t>资产查询不是由模型凭空回答，而是通过只读 Tool 获取真实数据。系统为数据中心列表、机器列表、单机详情、状态汇总和维保厂商查询分别定义结构化工具，使用 Zod 校验参数，后端再次检查用户权限和资源范围。模型负责判断需要调用哪个工具并解释返回结果，Tool 的 Observation 则构成诊断依据。该方式体现了 Agent 的 Tool 思想，使“语言理解能力”与“业务事实获取能力”相互分离。</w:t>
      </w:r>
    </w:p>
    <w:p w14:paraId="7B34F389">
      <w:pPr>
        <w:pStyle w:val="9"/>
      </w:pPr>
      <w:r>
        <w:t>3.2 任务规划、工具执行与 Skill 编排</w:t>
      </w:r>
    </w:p>
    <w:p w14:paraId="237A7905">
      <w:pPr>
        <w:pStyle w:val="10"/>
      </w:pPr>
      <w:r>
        <w:t>面向简单查询，Agent 可以直接选择单一 Tool；面向告警分析等复合任务，系统采用轻量化 Plan 思想，将任务组织为对象识别、资产查询、状态验证、知识检索、厂商关联和建议生成等步骤，并根据每次工具返回修正后续动作。当前项目尚未部署独立的 Plan-and-Execute 或 Reflexion 规划器，而是通过系统提示、工具协议和领域 Skill 约束执行流程，避免将尚未完成的规划框架表述为既有成果。</w:t>
      </w:r>
    </w:p>
    <w:p w14:paraId="49E1A499">
      <w:pPr>
        <w:pStyle w:val="10"/>
      </w:pPr>
      <w:r>
        <w:t>项目开发了基础设施告警诊断 Skill，支持用户通过斜杠命令主动调用，也支持 Agent 根据意图自动匹配。Skill 从告警文本中提取 IP、主机名或设备标识，调用资产和状态 Tool 获取机器用途、CPU、内存及所属数据中心，再检索相似运维经验并查询维保厂商，最终输出已确认事实、可能原因、建议核查顺序和协同联系人。Skill 将领域流程从一次性提示词提升为可发现、可复用和可维护的能力单元，体现了“Plan 定义步骤、Tool 获取事实、Memory 提供经验、Skill 固化流程”的协同关系。</w:t>
      </w:r>
    </w:p>
    <w:p w14:paraId="3267C82B">
      <w:pPr>
        <w:pStyle w:val="9"/>
      </w:pPr>
      <w:r>
        <w:t>3.3 运维知识记忆库与 RAG</w:t>
      </w:r>
    </w:p>
    <w:p w14:paraId="149DFC08">
      <w:pPr>
        <w:pStyle w:val="10"/>
      </w:pPr>
      <w:r>
        <w:t>记忆体系分为短期状态与长期知识。短期状态包括当前会话、近期消息、工具轨迹、附件解析结果和正在执行的 Turn，用于保持任务连续性；长期知识保存在共享 MemFS 中，服务于不同用户的银行运维会话。所有用户复用同一银行运维 Agent 和共享知识身份，但各自的 Conversation、附件、日程和任务记录按照登录用户隔离，从而在经验共享与会话隐私之间建立边界。</w:t>
      </w:r>
    </w:p>
    <w:p w14:paraId="56BCAB17">
      <w:pPr>
        <w:pStyle w:val="10"/>
      </w:pPr>
      <w:r>
        <w:t>长期知识通过即时写入和后台回溯两条路径产生。正常对话中，模型可以在确认内容具有复用价值时调用 memory_save；后台 Worker 每5分钟扫描最多12个已完成但尚未回顾的 Turn，补充提取可能被即时阶段遗漏的经验。两条路径均只允许保存 bank_operations_lesson 与 bank_operations_policy：前者记录已经发生并核实的故障、排障过程和复盘经验，后者记录已经确认生效、长期稳定的制度与操作规程。研究材料、竞赛文档、个人信息、凭据、原始聊天和临时状态均被排除。</w:t>
      </w:r>
    </w:p>
    <w:p w14:paraId="7AA774A7">
      <w:pPr>
        <w:pStyle w:val="10"/>
      </w:pPr>
      <w:r>
        <w:t>共享 Markdown 文件是知识事实来源，系统按约1200字符、180字符重叠进行切块，通过本地 BGE-M3 生成1024维向量，并写入 PostgreSQL 的 pgvector。检索时使用余弦相似度召回最多12个相关片段，再将其作为证据注入 Agent 上下文。新旧信息发生冲突时，不直接覆盖历史条目，而是以带时间戳的独立版本追加，使模型能够呈现不同版本的时间、内容和差异，并由用户结合实际环境判断。向量索引属于可重建加速层，任何时候都可以根据 Markdown 原文重新生成。</w:t>
      </w:r>
    </w:p>
    <w:p w14:paraId="29FADB1C">
      <w:pPr>
        <w:pStyle w:val="9"/>
      </w:pPr>
      <w:r>
        <w:t>3.4 每日邮件投递与授权控制</w:t>
      </w:r>
    </w:p>
    <w:p w14:paraId="53B1C378">
      <w:pPr>
        <w:pStyle w:val="10"/>
      </w:pPr>
      <w:r>
        <w:t>日常安排模块支持用户配置每日运维邮件。调度器在服务器端常驻运行，到达预定时间后启动 Agent Turn，先调用基础设施 Tool 汇总机器数量、状态分布和重点异常，再生成简洁的纯文本邮件正文。发送工具只能使用与当前登录账户在服务端绑定的发件身份和已配置收件人，模型无法读取 SMTP 授权码，也不能在 Tool 参数中任意修改发件人。</w:t>
      </w:r>
    </w:p>
    <w:p w14:paraId="34E33E63">
      <w:pPr>
        <w:pStyle w:val="10"/>
      </w:pPr>
      <w:r>
        <w:t>为防止登录会话被他人临时使用后创建长期外发任务，系统对每日邮件配置增加二次认证。用户必须再次输入当前账户密码；验证成功后，服务端签发5分钟有效且只能使用一次的令牌，在创建任务时原子消费。令牌缺失、过期或重复使用均被拒绝，连续5次密码错误触发15分钟限流。SMTP 授权码使用 AES-256-GCM 加密保存，邮件执行与模型生成相互分离，使外部副作用始终处于确定性程序控制之下。</w:t>
      </w:r>
    </w:p>
    <w:p w14:paraId="1BF50D6B">
      <w:pPr>
        <w:pStyle w:val="9"/>
      </w:pPr>
      <w:r>
        <w:t>3.5 健康巡检与运维简报生成</w:t>
      </w:r>
    </w:p>
    <w:p w14:paraId="7B77FF69">
      <w:pPr>
        <w:pStyle w:val="10"/>
      </w:pPr>
      <w:r>
        <w:t>系统预置每日健康巡检和工作日收盘简报等任务模板。健康巡检侧重检查异常机器、离线设备、资源使用和需要人工关注的项目；运维简报侧重汇总当日基础设施总体情况、重点机房和后续跟进事项。任务由调度器触发，Agent 根据模板形成计划，调用只读 Tool 获取最新状态，再依据当前事实和长期记忆生成报告，而不是仅依赖模型已有知识。</w:t>
      </w:r>
    </w:p>
    <w:p w14:paraId="3A236A72">
      <w:pPr>
        <w:pStyle w:val="10"/>
      </w:pPr>
      <w:r>
        <w:t>开发过程中曾出现“运维简报”与“邮件发送流程”被错误记忆绑定的问题，导致仅生成简报时仍输出邮件字段。项目通过删除错误知识、收紧长期记忆类别并区分“内容生成”和“外部发送”两个任务边界完成修正。该问题说明 Memory 能够提高复用效率，也可能放大错误经验，因此记忆写入标准、来源追溯和版本管理必须与功能开发同步建设。</w:t>
      </w:r>
    </w:p>
    <w:p w14:paraId="4DE02A8A">
      <w:pPr>
        <w:pStyle w:val="9"/>
      </w:pPr>
      <w:r>
        <w:t>3.6 后台常驻监控服务</w:t>
      </w:r>
    </w:p>
    <w:p w14:paraId="0C57E8FC">
      <w:pPr>
        <w:pStyle w:val="10"/>
      </w:pPr>
      <w:r>
        <w:t>为落实7×24小时在线目标，项目实现不依赖网页和用户主动提问的基础设施监控服务。调度器每分钟更新机器状态、CPU、内存和北京时间心跳，对异常数量设置上限，并通过连续心跳丢失、状态跃迁和恢复状态识别事件。设备需要连续3次缺失心跳才判定为离线，同一持续异常不会反复生成等价告警，从而降低单次网络抖动和重复采样造成的噪声。</w:t>
      </w:r>
    </w:p>
    <w:p w14:paraId="24C19A79">
      <w:pPr>
        <w:pStyle w:val="10"/>
      </w:pPr>
      <w:r>
        <w:t>新异常形成后，后台服务自动获取设备快照，检索共享运维记忆并关联维保厂商，由 Agent 生成原因分析和安全检查建议。邮件采用15分钟冷却窗口合并相近事件，单封最多汇总3台机器。如果模型或记忆检索暂时不可用，系统仍会使用规则模板生成包含设备、时间、指标和基础检查项的保守告警，避免模型服务成为监控通知链路的单点故障。上述流程形成“采集—识别—去重—诊断—通知—恢复记录”的主动运维闭环。</w:t>
      </w:r>
    </w:p>
    <w:p w14:paraId="72753F5C">
      <w:pPr>
        <w:pStyle w:val="8"/>
      </w:pPr>
      <w:r>
        <w:t>4、测试调优与性能优化</w:t>
      </w:r>
    </w:p>
    <w:p w14:paraId="0F6E037A">
      <w:pPr>
        <w:pStyle w:val="9"/>
      </w:pPr>
      <w:r>
        <w:t>4.1 多格式附件与多模态处理优化</w:t>
      </w:r>
    </w:p>
    <w:p w14:paraId="1BFB1FE6">
      <w:pPr>
        <w:pStyle w:val="10"/>
      </w:pPr>
      <w:r>
        <w:t>附件能力由早期仅支持图片和 TXT，逐步扩展为统一文件入口。当前可解析 PDF、DOCX、ODT、RTF、EPUB，XLSX、ODS、CSV、TSV，PPTX、ODP，以及常见文本、数据和代码格式。不支持的格式会明确拒绝，不再出现只把文件名传给模型的“伪上传”。旧版 DOC、XLS、PPT 由于解析链路稳定性和安全性不足，要求用户转换为现代格式后再上传。</w:t>
      </w:r>
    </w:p>
    <w:p w14:paraId="147A87F2">
      <w:pPr>
        <w:pStyle w:val="10"/>
      </w:pPr>
      <w:r>
        <w:t>PDF 和演示文稿采用“文本优先、视觉兜底”的分流策略。文字型文件直接提取内容，可减少请求体和推理时间；扫描件或以图表为主的文件则将页面渲染为压缩图片，再交给多模态模型。系统同时限制页数、分辨率和请求体规模，防止 Base64 膨胀触发413错误。上传前检查扩展名、媒体类型、压缩包展开规模和异常嵌套结构，并设置20 MB 单文件限制与文本截断，降低压缩炸弹和解析器资源耗尽风险。</w:t>
      </w:r>
    </w:p>
    <w:p w14:paraId="38C81DA8">
      <w:pPr>
        <w:pStyle w:val="9"/>
      </w:pPr>
      <w:r>
        <w:t>4.2 上传流程与交互体验优化</w:t>
      </w:r>
    </w:p>
    <w:p w14:paraId="3FF1A69F">
      <w:pPr>
        <w:pStyle w:val="10"/>
      </w:pPr>
      <w:r>
        <w:t>针对大文件上传耗时和刷新后附件丢失问题，系统将附件传输从对话请求中拆分，采用 XHR 预上传和 upload_id 关联机制。浏览器并行上传多个文件，服务器将结果写入附件暂存表；对话提交时只引用已完成的 upload_id。上传状态通过 SessionStorage 恢复，并配置临时资源释放规则。前端增加圆形进度显示，支持文件选择、拖入和剪贴板粘贴三种操作方式。</w:t>
      </w:r>
    </w:p>
    <w:p w14:paraId="2D54C8FA">
      <w:pPr>
        <w:pStyle w:val="10"/>
      </w:pPr>
      <w:r>
        <w:t>模型响应采用后端流式事件与前端增量渲染。后端接收 Letta/LiteLLM 片段并持续推送，前端进一步拆分为可阅读的逐步输出，同时过滤不应展示的内部推理标签。Markdown 渲染器负责标题、列表、表格和代码块，KaTeX 负责行内与块级公式，并通过公式块保护避免多行公式被换行规则破坏。系统移除了生成过程中持续强制滚动到底部的逻辑，使用户阅读历史内容时页面保持当前位置。</w:t>
      </w:r>
    </w:p>
    <w:p w14:paraId="37B56A25">
      <w:pPr>
        <w:pStyle w:val="10"/>
      </w:pPr>
      <w:r>
        <w:t>为降低界面复杂度，日常安排页面删除低频的一次性安排入口，对话页面删除置顶选项，并将图片与其他文件统一到“上传文件”菜单。上述修改虽然不改变 Agent 的核心推理能力，却直接影响真实运维人员的操作效率，因此被纳入功能优化而非仅作为视觉调整处理。</w:t>
      </w:r>
    </w:p>
    <w:p w14:paraId="751D0607">
      <w:pPr>
        <w:pStyle w:val="9"/>
      </w:pPr>
      <w:r>
        <w:t>4.3 会话可靠性、并发与上下文优化</w:t>
      </w:r>
    </w:p>
    <w:p w14:paraId="02875155">
      <w:pPr>
        <w:pStyle w:val="10"/>
      </w:pPr>
      <w:r>
        <w:t>系统将一次完整交互抽象为 Turn，并在 PostgreSQL 中保存 request_id、用户、会话、输入、附件上下文、运行状态、输出和异常。Redis 保存运行中任务状态，浏览器刷新后可以根据 request_id 继续查询原任务；重复请求返回已有状态，不重复调用模型或执行外部动作。该机制解决了流式中断、会话跳转和网络重试导致的消息丢失问题。</w:t>
      </w:r>
    </w:p>
    <w:p w14:paraId="365FA97F">
      <w:pPr>
        <w:pStyle w:val="10"/>
      </w:pPr>
      <w:r>
        <w:t>同一会话中的请求通过 Redis 分布式锁串行执行，避免并发修改上下文；不同会话可以并行，并由全局信号量限制总模型 Turn 数。并发压测与信号量观察确认当前上限为32。锁解决单会话顺序问题，request_id 解决重复提交问题，信号量解决整体容量问题，三者分别承担不同职责。</w:t>
      </w:r>
    </w:p>
    <w:p w14:paraId="7FB1DF80">
      <w:pPr>
        <w:pStyle w:val="10"/>
      </w:pPr>
      <w:r>
        <w:t>针对长对话、长文本和历史图片引起的413上下文溢出，系统在发送当前轮次前同时计算已有上下文和本轮完整消息大小。达到阈值时先使用 Letta compact 压缩历史，再发送当前消息；历史图片转为摘要，不再反复携带 Base64，当前需要精确识别的图片仍保留原始输入。该策略将压缩触发点前移，避免请求真正超过代理限制后才失败。</w:t>
      </w:r>
    </w:p>
    <w:p w14:paraId="34C828A1">
      <w:pPr>
        <w:pStyle w:val="9"/>
      </w:pPr>
      <w:r>
        <w:t>4.4 记忆质量、安全策略与问题回退</w:t>
      </w:r>
    </w:p>
    <w:p w14:paraId="1EE85FEA">
      <w:pPr>
        <w:pStyle w:val="10"/>
      </w:pPr>
      <w:r>
        <w:t>早期共享记忆可能吸收与运维无关的竞赛材料、论文或一次性业务内容，并出现错误流程被长期召回的问题。项目通过限定两类运维知识、删除既有无关条目、保留时间戳版本和限制召回数量改善知识质量。后台回溯读取附件时保持其原始 Turn 顺序，对进入反思提示的附件文本设置上限，但在数据库中保留完整结构化解析结果，从而兼顾可追溯性与 Token 控制。</w:t>
      </w:r>
    </w:p>
    <w:p w14:paraId="011A513B">
      <w:pPr>
        <w:pStyle w:val="10"/>
      </w:pPr>
      <w:r>
        <w:t>项目曾尝试使用中英文正则同时检测输入与输出中的提示注入、系统信息套取和工具强迫行为，并对附件、检索结果和工具结果划分信任边界。测试发现，正则规则会将正常审批表达误判为攻击，且白名单链路未正确返回审批结果，导致遗留审批阻塞后续对话。由于多处语义判断依赖正则，稳定性不足，相关方案已回退。当前有效保障主要依赖后端身份校验、工具最小权限、参数模式校验、敏感凭据隔离、外部动作二次认证和前端 DOM 清洗。该回退过程体现了测试的重要性：安全功能必须同时验证拦截能力与业务误报，不能以规则数量替代有效性。</w:t>
      </w:r>
    </w:p>
    <w:p w14:paraId="18A80B56">
      <w:pPr>
        <w:pStyle w:val="9"/>
      </w:pPr>
      <w:r>
        <w:t>4.5 模型容错与副作用保护</w:t>
      </w:r>
    </w:p>
    <w:p w14:paraId="4EF9C374">
      <w:pPr>
        <w:pStyle w:val="10"/>
      </w:pPr>
      <w:r>
        <w:t>模型调用以 MiniMax 为主，遇到超时、限流、连接异常或上游5xx时先进行有限重试，再按配置切换 Kimi、GLM 等备用模型。重试采用有上限的指数退避与随机抖动，避免多个请求同时再次冲击故障上游。鉴权失败、参数错误和其他确定性4xx不会盲目重试，以免浪费配额并延迟真实错误返回。</w:t>
      </w:r>
    </w:p>
    <w:p w14:paraId="33D6510C">
      <w:pPr>
        <w:pStyle w:val="10"/>
      </w:pPr>
      <w:r>
        <w:t>容错策略同时考虑流式输出和外部副作用。如果已经向用户展示可见内容，系统不再切换模型继续拼接另一份回答；如果邮件发送或记忆写入已经成功，也停止模型重放，防止重复发信或重复写入。该设计将“请求是否失败”细化为“错误类型、输出阶段和副作用状态”三个判断维度，提高了故障处理的业务正确性。</w:t>
      </w:r>
    </w:p>
    <w:p w14:paraId="3B748C7B">
      <w:pPr>
        <w:pStyle w:val="9"/>
      </w:pPr>
      <w:r>
        <w:t>4.6 测试结果与现存问题</w:t>
      </w:r>
    </w:p>
    <w:p w14:paraId="43AAB81B">
      <w:pPr>
        <w:pStyle w:val="10"/>
      </w:pPr>
      <w:r>
        <w:t>项目测试覆盖认证与邮件权限、附件提取、BGE-M3 嵌入、基础设施状态更新、记忆策略、模型路由、响应清洗、Skill 发现和显式调用等关键路径。当前共执行57项自动化测试，其中56项通过。未通过项为当前运行环境下的 PDF 多模态页面渲染测试，预期生成5页视觉输入但实际结果为0，表明 PDF 渲染工具或环境依赖仍需进一步统一。</w:t>
      </w:r>
    </w:p>
    <w:p w14:paraId="45D53D1B">
      <w:pPr>
        <w:pStyle w:val="10"/>
      </w:pPr>
      <w:r>
        <w:t>除自动化测试外，项目依据变更记录对公网访问、附件上传、刷新恢复、上下文溢出、模型服务异常和记忆污染进行问题复现与回归验证。现阶段已建立功能与异常路径测试基础，但尚未形成完整的 Agent 评估集，任务成功率、工具选择正确率、平均步骤数、P95时延和安全事件数量仍需在后续生产化阶段持续度量。</w:t>
      </w:r>
    </w:p>
    <w:p w14:paraId="4AD0F63B">
      <w:pPr>
        <w:pStyle w:val="8"/>
      </w:pPr>
      <w:r>
        <w:t>5、部署上线与运维监控</w:t>
      </w:r>
    </w:p>
    <w:p w14:paraId="3D2CEF5B">
      <w:pPr>
        <w:pStyle w:val="9"/>
      </w:pPr>
      <w:r>
        <w:t>5.1 Docker 镜像构建与服务启动</w:t>
      </w:r>
    </w:p>
    <w:p w14:paraId="1B284B6A">
      <w:pPr>
        <w:pStyle w:val="10"/>
      </w:pPr>
      <w:r>
        <w:t>部署阶段以 Dockerfile 构建 bank-agent-service 应用镜像，并通过 Docker Compose 统一启动五个容器。api 容器在镜像中安装运行时依赖、复制编译产物和前端资源，以非特权方式运行；LiteLLM、PostgreSQL、Redis 和 Infinity 使用固定镜像版本或明确标签。统一编排减少了本地环境差异，使开发、测试和演示可以使用相同的网络名称、服务发现和卷挂载方式。</w:t>
      </w:r>
    </w:p>
    <w:p w14:paraId="7D366BB0">
      <w:pPr>
        <w:pStyle w:val="10"/>
      </w:pPr>
      <w:r>
        <w:t>启动过程按照依赖健康状态推进，api 对外提供健康接口，运维人员可通过 compose ps 检查容器状态，通过 compose logs 分服务查看日志。首次启动 embeddings 时需要下载 BGE-M3 模型，模型缓存写入持久卷；在嵌入服务尚未完成预热时，聊天主体仍可运行，但长期记忆检索属于可降级能力。该设计保证辅助能力暂时不可用时不会拖垮全部服务。</w:t>
      </w:r>
    </w:p>
    <w:p w14:paraId="65ED65A8">
      <w:pPr>
        <w:pStyle w:val="9"/>
      </w:pPr>
      <w:r>
        <w:t>5.2 腾讯云 FRP 公网接入</w:t>
      </w:r>
    </w:p>
    <w:p w14:paraId="64DD5805">
      <w:pPr>
        <w:pStyle w:val="10"/>
      </w:pPr>
      <w:r>
        <w:t>为了在外部环境验证系统，项目在腾讯云部署 frps，并在本地 Windows 主机运行 frpc，将公网请求转发至本地 api。启动脚本首先检查相同配置的 frpc 进程是否已经存在，避免重复启动；随后执行配置校验，以隐藏窗口启动客户端，并读取日志尾部确认连接状态。与临时第三方隧道相比，自建 frps 可以查看服务端和客户端日志、控制连接参数并保持固定访问入口，便于持续联调。</w:t>
      </w:r>
    </w:p>
    <w:p w14:paraId="78D96E18">
      <w:pPr>
        <w:pStyle w:val="10"/>
      </w:pPr>
      <w:r>
        <w:t>FRP 只承担网络转发，不改变应用身份认证和资源授权。公网流量到达 api 后仍需要通过登录会话、用户归属和接口权限检查。部署文档不记录实际公网地址、账户、密码和邮箱授权码，相关凭据通过环境变量或受控配置提供，避免运维材料本身成为敏感信息泄露来源。</w:t>
      </w:r>
    </w:p>
    <w:p w14:paraId="176B79C8">
      <w:pPr>
        <w:pStyle w:val="9"/>
      </w:pPr>
      <w:r>
        <w:t>5.3 FRP 与模型链路故障排查</w:t>
      </w:r>
    </w:p>
    <w:p w14:paraId="337A9662">
      <w:pPr>
        <w:pStyle w:val="10"/>
      </w:pPr>
      <w:r>
        <w:t>项目将完整链路拆分为“浏览器—用户网络—公网—腾讯云 frps—FRP 工作连接—Windows frpc—本地 api—LiteLLM—上游模型”。模型结果沿原路流式返回，因此任一环节在请求结束前断开，都可能表现为404、connection error、terminated 或 network error。浏览器只显示部分回答并不能证明后端任务已经终止，数据库仍可能保存完整结果，刷新历史后可以恢复展示。</w:t>
      </w:r>
    </w:p>
    <w:p w14:paraId="5D59584A">
      <w:pPr>
        <w:pStyle w:val="10"/>
      </w:pPr>
      <w:r>
        <w:t>排障过程中，通过对齐浏览器报错时间、FRP 控制连接重连、api 容器错误、LiteLLM 状态和本地代理日志，区分了隧道抖动、本地网络节点超时与上游模型不可用等不同原因。由此形成“先判断故障层级，再验证上下游证据，最后修改对应组件”的排障方法，避免看到 HTTP 错误后直接修改业务路由。切换到腾讯云自建通道后，原第三方 FRP 抖动相关问题得到明显缓解。</w:t>
      </w:r>
    </w:p>
    <w:p w14:paraId="38964F61">
      <w:pPr>
        <w:pStyle w:val="9"/>
      </w:pPr>
      <w:r>
        <w:t>5.4 Langfuse 模型调用监控</w:t>
      </w:r>
    </w:p>
    <w:p w14:paraId="5CC021C4">
      <w:pPr>
        <w:pStyle w:val="10"/>
      </w:pPr>
      <w:r>
        <w:t>项目在 Letta 与上游模型之间增加本地 LiteLLM 代理，并通过 OpenTelemetry v2 将模型调用发送到 Langfuse。每次调用可以记录模型名称、请求与响应、耗时、Token 使用和成本，为分析慢请求、失败模型和资源消耗提供依据。LiteLLM 在 Compose 内部网络中运行，api 等待其健康后再启动；网关自身关闭重复重试，使应用层的主备模型与副作用保护策略保持唯一权威。</w:t>
      </w:r>
    </w:p>
    <w:p w14:paraId="6DBDF19E">
      <w:pPr>
        <w:pStyle w:val="10"/>
      </w:pPr>
      <w:r>
        <w:t>当前 Langfuse 主要覆盖模型调用层，还没有完整形成用户会话、Turn、RAG 片段、Tool 和后台任务的统一层级 Trace。因此，现阶段可观测性可以回答“哪个模型调用失败、耗时和 Token 如何”，但尚不能一次还原整个 Agent 决策路径。后续需要以 trace_id 贯通浏览器请求、Turn、检索、工具执行和邮件通知，并对日志中的敏感字段进行脱敏和访问控制。</w:t>
      </w:r>
    </w:p>
    <w:p w14:paraId="7757A726">
      <w:pPr>
        <w:pStyle w:val="9"/>
      </w:pPr>
      <w:r>
        <w:t>5.5 上线后的运行保障</w:t>
      </w:r>
    </w:p>
    <w:p w14:paraId="5407A41B">
      <w:pPr>
        <w:pStyle w:val="10"/>
      </w:pPr>
      <w:r>
        <w:t>上线运行主要依靠容器健康检查、自动重启、持久化卷、结构化日志和主动监控共同保障。数据库、缓存、模型网关和 api 均具备独立状态检查；模型和嵌入服务不可用时设置降级路径；Turn 持久化保证长任务可以恢复；后台监控持续生成异常事件并通知责任人员。上述机制使系统从“能够启动”提升为“能够持续运行并提供故障证据”。</w:t>
      </w:r>
    </w:p>
    <w:p w14:paraId="0F0D73EC">
      <w:pPr>
        <w:pStyle w:val="10"/>
      </w:pPr>
      <w:r>
        <w:t>若进入真实银行生产环境，还需要将演示账号替换为统一身份认证，使用 Vault 或专用密钥系统管理凭据，启用 HTTPS、MFA、网络分区、数据库与卷加密、备份恢复、数据保留策略及集中审计。Langfuse 部署位置、提示内容留存和访问权限也必须经过数据安全评估。当前项目完成的是生产化方向的工程原型，不将演示部署等同于正式银行生产上线。</w:t>
      </w:r>
    </w:p>
    <w:p w14:paraId="61815129">
      <w:pPr>
        <w:pStyle w:val="8"/>
      </w:pPr>
      <w:r>
        <w:t>6、总结</w:t>
      </w:r>
    </w:p>
    <w:p w14:paraId="26088F01">
      <w:pPr>
        <w:pStyle w:val="9"/>
      </w:pPr>
      <w:r>
        <w:t>6.1 主要工作成果</w:t>
      </w:r>
    </w:p>
    <w:p w14:paraId="28672DB2">
      <w:pPr>
        <w:pStyle w:val="10"/>
      </w:pPr>
      <w:r>
        <w:t>实习期间围绕“7×24小时在线银行运维数字员工”完成了从需求分析、架构设计、功能开发、测试优化到部署监控的完整实践。项目构建了统一运维工作台，形成机器、数据中心和维保厂商的查询能力；以 Plan、Tool、Memory 和 Skill 思想组织告警分析；建设共享长期记忆与本地语义 RAG；实现每日邮件、健康巡检、运维简报和后台主动告警；通过 Turn 持久化、Redis 并发控制、模型主备切换和受控授权提高任务可靠性。</w:t>
      </w:r>
    </w:p>
    <w:p w14:paraId="1F5C6EDD">
      <w:pPr>
        <w:pStyle w:val="10"/>
      </w:pPr>
      <w:r>
        <w:t>在部署层面，项目由早期三容器演进为 api、litellm、postgres、embeddings 和 redis 五容器架构，形成业务、模型网关、持久数据、语义嵌入和并发协调相互解耦的运行体系。腾讯云 FRP 提供外部联调入口，Langfuse 提供模型调用层观测，使系统具备持续测试和问题定位条件。</w:t>
      </w:r>
    </w:p>
    <w:p w14:paraId="639A1D0F">
      <w:pPr>
        <w:pStyle w:val="9"/>
      </w:pPr>
      <w:r>
        <w:t>6.2 项目亮点与不足</w:t>
      </w:r>
    </w:p>
    <w:p w14:paraId="55102E66">
      <w:pPr>
        <w:pStyle w:val="10"/>
      </w:pPr>
      <w:r>
        <w:t>项目的主要亮点在于没有将 Agent 等同于聊天界面，而是将真实工具、长期记忆、领域技能、异步任务和主动监控整合为业务闭环；同时，通过后端授权、凭据隔离和副作用保护约束模型能力。多格式附件、语义 RAG、刷新恢复、上下文压缩和模型故障切换等优化，均来源于实际联调问题，体现了以问题驱动工程迭代的过程。</w:t>
      </w:r>
    </w:p>
    <w:p w14:paraId="731CA896">
      <w:pPr>
        <w:pStyle w:val="10"/>
      </w:pPr>
      <w:r>
        <w:t>当前不足主要包括显式 Plan/Execute/Reflect 框架尚未完成、PDF 视觉渲染测试存在环境依赖、Langfuse 尚未覆盖完整 Agent Trace、提示注入防护仍需更可靠的纵深机制、评估体系缺少固定基准集和线上指标。后续建设应在保持最小权限和人工最终决策的前提下，进一步提高规划能力、可观测性和生产级安全治理水平。</w:t>
      </w:r>
    </w:p>
    <w:p w14:paraId="4611E18B">
      <w:pPr>
        <w:pStyle w:val="7"/>
      </w:pPr>
      <w:r>
        <w:t>二、实习收获</w:t>
      </w:r>
    </w:p>
    <w:p w14:paraId="40BF4B41">
      <w:pPr>
        <w:pStyle w:val="8"/>
      </w:pPr>
      <w:r>
        <w:t>1、Agent 系统设计能力</w:t>
      </w:r>
    </w:p>
    <w:p w14:paraId="44008C94">
      <w:pPr>
        <w:pStyle w:val="10"/>
      </w:pPr>
      <w:r>
        <w:t>通过本项目，系统理解了 Agent 与普通聊天机器人、固定流程 Chain 的差异。Agent 的关键不是调用一次大模型，而是让模型在受约束的动作空间中根据环境反馈持续决策。Plan、Tool、Memory 和 Skill 分别承担任务分解、事实获取、状态保持和流程复用，必须与身份、权限、数据库及任务系统共同设计。共享 Agent 与独立会话的改造，也提升了在能力复用、数据隔离和资源成本之间进行架构权衡的能力。</w:t>
      </w:r>
    </w:p>
    <w:p w14:paraId="2CF76F2F">
      <w:pPr>
        <w:pStyle w:val="8"/>
      </w:pPr>
      <w:r>
        <w:t>2、工程实现与故障分析能力</w:t>
      </w:r>
    </w:p>
    <w:p w14:paraId="22F218DF">
      <w:pPr>
        <w:pStyle w:val="10"/>
      </w:pPr>
      <w:r>
        <w:t>项目覆盖 TypeScript 服务、PostgreSQL、Redis、Docker Compose、FRP、模型网关、向量检索和浏览器交互等多个层面。通过处理附件上传、流式中断、上下文溢出、隧道抖动、模型超时和错误记忆等问题，形成了按完整链路收集证据、区分故障层级并进行回归验证的方法。Turn 持久化、幂等请求、会话锁和副作用保护的实现，也加深了对分布式任务可靠性的理解。</w:t>
      </w:r>
    </w:p>
    <w:p w14:paraId="1CD7357F">
      <w:pPr>
        <w:pStyle w:val="8"/>
      </w:pPr>
      <w:r>
        <w:t>3、知识治理与安全意识</w:t>
      </w:r>
    </w:p>
    <w:p w14:paraId="7E853780">
      <w:pPr>
        <w:pStyle w:val="10"/>
      </w:pPr>
      <w:r>
        <w:t>长期记忆开发表明，知识库质量不仅取决于检索算法，也取决于写入规则、来源、版本和权限。将所有对话自动保存会产生污染和隐私风险，因此必须限定知识类别并保留可审阅原文。提示注入正则方案的回退进一步说明，安全控制不能只追求覆盖攻击关键词，还必须验证对正常业务的影响。模型适合生成判断与建议，身份认证、权限校验和外部动作必须由确定性程序完成。</w:t>
      </w:r>
    </w:p>
    <w:p w14:paraId="5022C8E6">
      <w:pPr>
        <w:pStyle w:val="8"/>
      </w:pPr>
      <w:r>
        <w:t>4、技术文档与复盘能力</w:t>
      </w:r>
    </w:p>
    <w:p w14:paraId="2ED4623E">
      <w:pPr>
        <w:pStyle w:val="10"/>
      </w:pPr>
      <w:r>
        <w:t>在持续记录功能改动和问题处理过程中，逐步掌握了按照“背景—现象—影响—原因—方案—验证—遗留问题”组织技术材料的方法。变更记录不仅用于说明完成了哪些功能，也用于保留失败方案和限制条件。例如，记录提示注入方案为何回退、PDF 测试为何仍未通过，比简单声明“已完成安全与多模态能力”更有利于后续维护和团队协作。</w:t>
      </w:r>
    </w:p>
    <w:p w14:paraId="1E4A90AE">
      <w:pPr>
        <w:pStyle w:val="7"/>
      </w:pPr>
      <w:r>
        <w:t>三、后续提升计划</w:t>
      </w:r>
    </w:p>
    <w:p w14:paraId="7F5B9CEE">
      <w:pPr>
        <w:pStyle w:val="8"/>
      </w:pPr>
      <w:r>
        <w:t>1、完善显式规划与反思机制</w:t>
      </w:r>
    </w:p>
    <w:p w14:paraId="1C2E48B3">
      <w:pPr>
        <w:pStyle w:val="10"/>
      </w:pPr>
      <w:r>
        <w:t>后续将针对复杂故障引入 Plan-and-Execute 与动态重规划机制，由 Planner 生成结构化步骤，Executor 逐项调用工具，并在工具失败、证据冲突或任务条件变化时重新规划。执行完成后增加结果校验和反思环节，但反思内容只能用于提出改进建议或受控知识候选，不能自动扩大工具权限或修改生产规则。</w:t>
      </w:r>
    </w:p>
    <w:p w14:paraId="76205D4D">
      <w:pPr>
        <w:pStyle w:val="8"/>
      </w:pPr>
      <w:r>
        <w:t>2、建立端到端评估与可观测体系</w:t>
      </w:r>
    </w:p>
    <w:p w14:paraId="63656F87">
      <w:pPr>
        <w:pStyle w:val="10"/>
      </w:pPr>
      <w:r>
        <w:t>以 trace_id 贯通会话、Turn、模型、RAG、Tool、Skill、附件处理和通知任务，建立任务成功率、工具选择正确率、无依据结论比例、平均步骤数、P95时延、Token 成本和安全事件等指标。构建覆盖正常任务、边界输入、网络中断、模型故障和提示注入的固定评估集，使 Prompt、模型和检索策略的每次变更均能够自动回归。</w:t>
      </w:r>
    </w:p>
    <w:p w14:paraId="1F5319C6">
      <w:pPr>
        <w:pStyle w:val="8"/>
      </w:pPr>
      <w:r>
        <w:t>3、加强安全与生产化治理</w:t>
      </w:r>
    </w:p>
    <w:p w14:paraId="6AA5F043">
      <w:pPr>
        <w:pStyle w:val="10"/>
      </w:pPr>
      <w:r>
        <w:t>提示注入防护将从单一正则升级为信任域隔离、内容标记、工具最小权限、参数策略校验、高风险操作人工确认和输出审查的纵深体系。生产部署接入银行 SSO/OIDC、MFA、Vault、HTTPS、网络策略、数据加密、备份恢复和审计平台，明确 Langfuse 数据留存及访问边界。对于配置修改、服务启停等高风险能力，在完整审批、回滚和审计机制建立前不向 Agent 开放。</w:t>
      </w:r>
    </w:p>
    <w:p w14:paraId="75C48ECA">
      <w:pPr>
        <w:pStyle w:val="8"/>
      </w:pPr>
      <w:r>
        <w:t>4、提升 RAG 与主动运维质量</w:t>
      </w:r>
    </w:p>
    <w:p w14:paraId="45770D6A">
      <w:pPr>
        <w:pStyle w:val="10"/>
      </w:pPr>
      <w:r>
        <w:t>RAG 将增加来源、设备类型、适用系统、有效时间和审核状态等元数据，并研究混合检索、重排序和过期知识治理。主动监控将逐步接入真实监控平台、配置管理数据库和工单系统，由模拟指标演进为受控的真实事件消费。告警诊断结果生成待确认工单，经人工审核后进入处置流程，并将恢复结果回写知识库，形成可评估、可追溯的持续改进闭环。</w:t>
      </w:r>
    </w:p>
    <w:p w14:paraId="283402A2">
      <w:pPr>
        <w:pStyle w:val="8"/>
      </w:pPr>
      <w:r>
        <w:t>参考资料</w:t>
      </w:r>
    </w:p>
    <w:p w14:paraId="0F5F0704">
      <w:pPr>
        <w:pStyle w:val="11"/>
      </w:pPr>
      <w:r>
        <w:t>[1] 《2026年 AI Agent 面试全攻略——从零到 Offer》，v1.0.2。</w:t>
      </w:r>
    </w:p>
    <w:p w14:paraId="18528905">
      <w:pPr>
        <w:pStyle w:val="11"/>
      </w:pPr>
      <w:r>
        <w:t>[2] OpenAI. A Practical Guide to Building Agents. https://openai.com/business/guides-and-resources/a-practical-guide-to-building-ai-agents/</w:t>
      </w:r>
    </w:p>
    <w:p w14:paraId="639798FB">
      <w:pPr>
        <w:pStyle w:val="11"/>
      </w:pPr>
      <w:r>
        <w:t>[3] Anthropic. Building Effective Agents. https://www.anthropic.com/research/building-effective-agents</w:t>
      </w:r>
    </w:p>
    <w:p w14:paraId="1794FD48">
      <w:pPr>
        <w:pStyle w:val="11"/>
      </w:pPr>
      <w:r>
        <w:t>[4] Letta Documentation. Memory Blocks. https://docs.letta.com/guides/agents/memory-blocks</w:t>
      </w:r>
    </w:p>
    <w:p w14:paraId="06E9573F">
      <w:pPr>
        <w:pStyle w:val="11"/>
      </w:pPr>
      <w:r>
        <w:t>[5] Docker Documentation. Docker Compose. https://docs.docker.com/compose/</w:t>
      </w:r>
    </w:p>
    <w:p w14:paraId="1BF99B4D">
      <w:pPr>
        <w:pStyle w:val="11"/>
      </w:pPr>
      <w:r>
        <w:t>[6] OWASP. AI Agent Security Cheat Sheet. https://cheatsheetseries.owasp.org/cheatsheets/AI_Agent_Security_Cheat_Sheet.html</w:t>
      </w:r>
    </w:p>
    <w:p w14:paraId="3897032D">
      <w:pPr>
        <w:pStyle w:val="11"/>
      </w:pPr>
      <w:r>
        <w:t>[7] Chen J. et al. BGE M3-Embedding. arXiv:2402.03216.</w:t>
      </w:r>
    </w:p>
    <w:p w14:paraId="21F9A4C4">
      <w:pPr>
        <w:pStyle w:val="11"/>
      </w:pPr>
      <w:r>
        <w:t>[8] pgvector. Open-source Vector Similarity Search for PostgreSQL. https://github.com/pgvector/pgvector</w:t>
      </w:r>
    </w:p>
    <w:p w14:paraId="1959D3FC">
      <w:pPr>
        <w:pStyle w:val="11"/>
      </w:pPr>
      <w:r>
        <w:t>[9] Langfuse Documentation. LLM Observability and Tracing. https://langfuse.com/docs</w:t>
      </w:r>
    </w:p>
    <w:p w14:paraId="33FC9502">
      <w:pPr>
        <w:pStyle w:val="10"/>
      </w:pPr>
    </w:p>
    <w:p w14:paraId="58585C1F">
      <w:pPr>
        <w:pStyle w:val="12"/>
      </w:pPr>
      <w:r>
        <w:t>实习生（签名）：　　　　　　　　　　　　　　　日期：</w:t>
      </w:r>
    </w:p>
    <w:p w14:paraId="0FC8299A">
      <w:pPr>
        <w:pStyle w:val="12"/>
      </w:pPr>
    </w:p>
    <w:p w14:paraId="5573A3BF">
      <w:pPr>
        <w:pStyle w:val="12"/>
      </w:pPr>
    </w:p>
    <w:p w14:paraId="3803DA76">
      <w:pPr>
        <w:pStyle w:val="12"/>
      </w:pPr>
      <w:r>
        <w:t>实习导师（签名）：　　　　　　　　　　　　　　日期：</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24351">
    <w:pPr>
      <w:jc w:val="center"/>
    </w:pPr>
    <w:r>
      <w:rPr>
        <w:rFonts w:ascii="Times New Roman" w:hAnsi="Times New Roman" w:eastAsia="宋体"/>
        <w:sz w:val="18"/>
        <w:szCs w:val="18"/>
      </w:rPr>
      <w:t>—</w:t>
    </w:r>
    <w:r>
      <w:fldChar w:fldCharType="begin"/>
    </w:r>
    <w:r>
      <w:instrText xml:space="preserve"> PAGE </w:instrText>
    </w:r>
    <w:r>
      <w:fldChar w:fldCharType="separate"/>
    </w:r>
    <w:r>
      <w:t>1</w:t>
    </w:r>
    <w:r>
      <w:fldChar w:fldCharType="end"/>
    </w:r>
    <w:r>
      <w:rPr>
        <w:rFonts w:ascii="Times New Roman" w:hAnsi="Times New Roman" w:eastAsia="宋体"/>
        <w:sz w:val="18"/>
        <w:szCs w:val="1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A90"/>
    <w:rsid w:val="001B7405"/>
    <w:rsid w:val="00252A90"/>
    <w:rsid w:val="00857FE9"/>
    <w:rsid w:val="26165EB3"/>
    <w:rsid w:val="54C490DB"/>
    <w:rsid w:val="63776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customStyle="1" w:styleId="5">
    <w:name w:val="Report Title"/>
    <w:next w:val="6"/>
    <w:uiPriority w:val="0"/>
    <w:pPr>
      <w:keepNext/>
      <w:spacing w:after="360"/>
      <w:jc w:val="center"/>
    </w:pPr>
    <w:rPr>
      <w:rFonts w:ascii="Times New Roman" w:hAnsi="Times New Roman" w:eastAsia="黑体" w:cstheme="minorBidi"/>
      <w:b/>
      <w:color w:val="000000"/>
      <w:sz w:val="44"/>
      <w:szCs w:val="44"/>
    </w:rPr>
  </w:style>
  <w:style w:type="paragraph" w:customStyle="1" w:styleId="6">
    <w:name w:val="Report Meta"/>
    <w:next w:val="7"/>
    <w:uiPriority w:val="0"/>
    <w:pPr>
      <w:spacing w:after="360" w:line="360" w:lineRule="auto"/>
      <w:jc w:val="center"/>
    </w:pPr>
    <w:rPr>
      <w:rFonts w:ascii="Times New Roman" w:hAnsi="Times New Roman" w:eastAsia="仿宋_GB2312" w:cstheme="minorBidi"/>
      <w:color w:val="000000"/>
      <w:sz w:val="30"/>
      <w:szCs w:val="30"/>
    </w:rPr>
  </w:style>
  <w:style w:type="paragraph" w:customStyle="1" w:styleId="7">
    <w:name w:val="Report Heading 1"/>
    <w:next w:val="8"/>
    <w:uiPriority w:val="0"/>
    <w:pPr>
      <w:keepNext/>
      <w:keepLines/>
      <w:spacing w:before="240" w:after="120" w:line="360" w:lineRule="auto"/>
      <w:outlineLvl w:val="0"/>
    </w:pPr>
    <w:rPr>
      <w:rFonts w:ascii="Times New Roman" w:hAnsi="Times New Roman" w:eastAsia="仿宋_GB2312" w:cstheme="minorBidi"/>
      <w:b/>
      <w:color w:val="000000"/>
      <w:sz w:val="30"/>
      <w:szCs w:val="30"/>
    </w:rPr>
  </w:style>
  <w:style w:type="paragraph" w:customStyle="1" w:styleId="8">
    <w:name w:val="Report Heading 2"/>
    <w:next w:val="9"/>
    <w:uiPriority w:val="0"/>
    <w:pPr>
      <w:keepNext/>
      <w:keepLines/>
      <w:spacing w:before="200" w:after="80" w:line="360" w:lineRule="auto"/>
      <w:outlineLvl w:val="1"/>
    </w:pPr>
    <w:rPr>
      <w:rFonts w:ascii="Times New Roman" w:hAnsi="Times New Roman" w:eastAsia="黑体" w:cstheme="minorBidi"/>
      <w:b/>
      <w:color w:val="000000"/>
      <w:sz w:val="27"/>
      <w:szCs w:val="27"/>
    </w:rPr>
  </w:style>
  <w:style w:type="paragraph" w:customStyle="1" w:styleId="9">
    <w:name w:val="Report Heading 3"/>
    <w:next w:val="10"/>
    <w:uiPriority w:val="0"/>
    <w:pPr>
      <w:keepNext/>
      <w:keepLines/>
      <w:spacing w:before="140" w:after="40" w:line="360" w:lineRule="auto"/>
      <w:outlineLvl w:val="2"/>
    </w:pPr>
    <w:rPr>
      <w:rFonts w:ascii="Times New Roman" w:hAnsi="Times New Roman" w:eastAsia="楷体_GB2312" w:cstheme="minorBidi"/>
      <w:b/>
      <w:color w:val="000000"/>
      <w:sz w:val="24"/>
      <w:szCs w:val="24"/>
    </w:rPr>
  </w:style>
  <w:style w:type="paragraph" w:customStyle="1" w:styleId="10">
    <w:name w:val="Report Body"/>
    <w:uiPriority w:val="0"/>
    <w:pPr>
      <w:widowControl/>
      <w:spacing w:after="60" w:line="360" w:lineRule="auto"/>
      <w:ind w:firstLine="420"/>
      <w:jc w:val="both"/>
    </w:pPr>
    <w:rPr>
      <w:rFonts w:ascii="Times New Roman" w:hAnsi="Times New Roman" w:eastAsia="宋体" w:cstheme="minorBidi"/>
      <w:color w:val="000000"/>
      <w:sz w:val="24"/>
      <w:szCs w:val="24"/>
    </w:rPr>
  </w:style>
  <w:style w:type="paragraph" w:customStyle="1" w:styleId="11">
    <w:name w:val="Report Reference"/>
    <w:uiPriority w:val="0"/>
    <w:pPr>
      <w:spacing w:after="40" w:line="260" w:lineRule="auto"/>
      <w:ind w:left="420" w:hanging="420"/>
    </w:pPr>
    <w:rPr>
      <w:rFonts w:ascii="Times New Roman" w:hAnsi="Times New Roman" w:eastAsia="宋体" w:cstheme="minorBidi"/>
      <w:color w:val="000000"/>
      <w:sz w:val="21"/>
      <w:szCs w:val="21"/>
    </w:rPr>
  </w:style>
  <w:style w:type="paragraph" w:customStyle="1" w:styleId="12">
    <w:name w:val="Report Signature"/>
    <w:uiPriority w:val="0"/>
    <w:pPr>
      <w:spacing w:line="360" w:lineRule="auto"/>
    </w:pPr>
    <w:rPr>
      <w:rFonts w:ascii="Times New Roman" w:hAnsi="Times New Roman" w:eastAsia="仿宋_GB2312" w:cstheme="minorBidi"/>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BOC</Company>
  <Pages>16</Pages>
  <Words>11257</Words>
  <Characters>13752</Characters>
  <Lines>1</Lines>
  <Paragraphs>1</Paragraphs>
  <TotalTime>65</TotalTime>
  <ScaleCrop>false</ScaleCrop>
  <LinksUpToDate>false</LinksUpToDate>
  <CharactersWithSpaces>14309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2020-08-24T14:52:00Z</dcterms:created>
  <dc:creator>朱珊</dc:creator>
  <cp:lastModifiedBy>顾彦航</cp:lastModifiedBy>
  <dcterms:modified xsi:type="dcterms:W3CDTF">2026-08-19T01:56:39Z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C9155B13E8AA4615F29AC56644F0503F</vt:lpwstr>
  </property>
  <property fmtid="{D5CDD505-2E9C-101B-9397-08002B2CF9AE}" pid="4" name="KSOTemplateDocerSaveRecord">
    <vt:lpwstr>eyJoZGlkIjoiYzlmZjBiZDU2ODIzYjMxMTQyZmFhYTAxNDU0OGE3ZWYiLCJ1c2VySWQiOiIxNjgwMzcxODQzIn0=</vt:lpwstr>
  </property>
</Properties>
</file>