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body>
    <w:p>
      <w:pPr>
        <w:pStyle w:val="ReportTitle"/>
      </w:pPr>
      <w:r>
        <w:t>实习报告</w:t>
      </w:r>
    </w:p>
    <w:p>
      <w:pPr>
        <w:pStyle w:val="ReportMeta"/>
      </w:pPr>
      <w:r>
        <w:t>实习部门：　　　　　　　　　　姓名：顾彦航</w:t>
      </w:r>
    </w:p>
    <w:p>
      <w:pPr>
        <w:pStyle w:val="ReportHeading1"/>
      </w:pPr>
      <w:r>
        <w:t>一、主要工作内容</w:t>
      </w:r>
    </w:p>
    <w:p>
      <w:pPr>
        <w:pStyle w:val="ReportHeading2"/>
      </w:pPr>
      <w:r>
        <w:t>1.1 项目背景与需求分析</w:t>
      </w:r>
    </w:p>
    <w:p>
      <w:pPr>
        <w:pStyle w:val="ReportHeading3"/>
      </w:pPr>
      <w:r>
        <w:t>1.1.1 建设背景</w:t>
      </w:r>
    </w:p>
    <w:p>
      <w:pPr>
        <w:pStyle w:val="ReportBody"/>
      </w:pPr>
      <w:r>
        <w:t>随着银行信息系统数量持续增加，日常运维工作已由单一设备维护转变为覆盖主机、应用、中间件、数据库、网络链路及外部厂商协同的综合性保障活动。传统运维模式主要依赖人工查看监控、检索资产、比对历史记录、整理故障现象并联系相关责任人。该模式能够处理明确且低频的问题，但在告警密集、人员轮班、夜间值守或突发故障场景下，容易出现信息分散、处置口径不一致、经验无法复用以及跨系统协同效率偏低等问题。</w:t>
      </w:r>
    </w:p>
    <w:p>
      <w:pPr>
        <w:pStyle w:val="ReportBody"/>
      </w:pPr>
      <w:r>
        <w:t>本项目以设计一名“7×24小时在线的银行运维数字员工”为总体背景。数字员工并非替代运维人员作出最终生产决策，而是持续承担信息汇聚、任务受理、知识检索、初步分析、处置建议生成和协同通知等工作：在日常场景中，高效完成资产查询、状态汇总、日报整理和计划提醒；在应急场景中，快速识别异常对象，关联设备、厂商与历史经验，形成具有依据、步骤清晰且风险可控的故障分析建议，为值班人员缩短信息搜集与初判时间。</w:t>
      </w:r>
    </w:p>
    <w:p>
      <w:pPr>
        <w:pStyle w:val="ReportBody"/>
      </w:pPr>
      <w:r>
        <w:t>项目建设过程中，以大语言模型的自然语言理解和推理能力为基础，将会话服务、工具调用、长期记忆、检索增强生成、附件解析、定时任务及主动监控等能力纳入统一架构。通过工程化约束，系统需要实现“能够理解任务、能够调用真实数据、能够记录有效经验、能够在无人交互时持续工作”，同时避免模型越权访问、重复执行和不确定性输出直接影响生产系统。</w:t>
      </w:r>
    </w:p>
    <w:p>
      <w:pPr>
        <w:pStyle w:val="ReportHeading3"/>
      </w:pPr>
      <w:r>
        <w:t>1.1.2 建设目标</w:t>
      </w:r>
    </w:p>
    <w:p>
      <w:pPr>
        <w:pStyle w:val="ReportBody"/>
      </w:pPr>
      <w:r>
        <w:t>结合银行运维场景特点，项目确立了四项相互支撑的建设目标。第一，构建统一的自然语言任务入口，使用户能够通过对话完成设备状态查询、厂商信息检索、故障分析、附件解读及日常安排管理，降低多系统切换成本。第二，建立以真实工具数据为依据的分析机制，要求模型明确区分已验证事实、合理推断和待确认事项，防止将语言生成结果误当作生产事实。第三，建设可持续演进的共享运维记忆，使不同会话中形成的有效处置经验和制度知识能够沉淀、检索与复用，并通过用户隔离和内容治理控制数据边界。第四，形成主动运维闭环，使系统在没有用户打开网页或发起对话时，仍能持续采集状态、识别事件、生成初步诊断并完成受控通知。</w:t>
      </w:r>
    </w:p>
    <w:p>
      <w:pPr>
        <w:pStyle w:val="ReportBody"/>
      </w:pPr>
      <w:r>
        <w:t>上述目标决定了本项目不能停留在单轮问答或演示型聊天机器人层面，而需要同时解决身份鉴别、会话隔离、并发访问、异步任务、模型容错、数据持久化和高风险操作控制等问题。项目验收重点由“模型是否能够回答”转变为“系统是否能够在明确权限、可靠状态和可追溯证据的基础上持续完成任务”。</w:t>
      </w:r>
    </w:p>
    <w:p>
      <w:pPr>
        <w:pStyle w:val="ReportHeading3"/>
      </w:pPr>
      <w:r>
        <w:t>1.1.3 需求边界</w:t>
      </w:r>
    </w:p>
    <w:p>
      <w:pPr>
        <w:pStyle w:val="ReportBody"/>
      </w:pPr>
      <w:r>
        <w:t>项目将数字员工定位为运维人员的辅助执行者和信息协调者。系统可自动执行只读查询、状态汇总、知识检索、风险较低的内容生成及预先授权的通知任务；对于配置修改、服务启停、文件删除、生产命令执行等可能改变系统状态的操作，不向模型开放任意命令接口，也不允许模型绕过后端权限控制。涉及邮件发送等具有外部影响的动作时，必须由确定性业务逻辑完成身份复核、参数校验、幂等控制和审计记录。</w:t>
      </w:r>
    </w:p>
    <w:p>
      <w:pPr>
        <w:pStyle w:val="ReportBody"/>
      </w:pPr>
      <w:r>
        <w:t>在数据范围方面，项目记忆仅接收可复用的银行运维经验与制度知识，不将个人隐私、账户凭证、原始聊天记录或与运维无关的材料写入共享知识库。对于上传附件，系统设置文件类型、体积、解压规模和解析时长限制，并对旧版高风险格式进行拒绝处理。上述边界既是安全要求，也是提高数字员工输出稳定性和知识质量的必要条件。</w:t>
      </w:r>
    </w:p>
    <w:p>
      <w:pPr>
        <w:pStyle w:val="ReportHeading2"/>
      </w:pPr>
      <w:r>
        <w:t>1.2 总体方案设计</w:t>
      </w:r>
    </w:p>
    <w:p>
      <w:pPr>
        <w:pStyle w:val="ReportHeading3"/>
      </w:pPr>
      <w:r>
        <w:t>1.2.1 总体技术架构</w:t>
      </w:r>
    </w:p>
    <w:p>
      <w:pPr>
        <w:pStyle w:val="ReportBody"/>
      </w:pPr>
      <w:r>
        <w:t>项目采用分层解耦的服务架构。交互层提供基础设施总览、设备看板、厂商目录、智能助手及日常安排等页面，负责用户操作、流式结果展示、附件上传进度和历史任务恢复。应用服务层基于 TypeScript 与 Fastify 构建，承担身份认证、会话管理、业务路由、任务编排、工具权限、定时调度及响应清洗。智能体层通过 Letta Agent SDK 管理智能体状态、即时记忆和工具调用，并经本地 LiteLLM 网关接入不同模型服务。数据层使用 PostgreSQL 保存业务数据、对话轮次和向量索引，使用 Redis 保存分布式锁、并发信号量、登录限流及异步任务状态，同时通过持久化卷保存智能体及附件处理所需数据。</w:t>
      </w:r>
    </w:p>
    <w:p>
      <w:pPr>
        <w:pStyle w:val="ReportBody"/>
      </w:pPr>
      <w:r>
        <w:t>在语义检索方面，项目部署本地 BGE-M3 嵌入模型，并采用 CPU INT8 推理方式降低部署成本；文本向量维度为1024，使用 pgvector 完成余弦相似度检索。该方案将模型推理、业务逻辑、状态管理和知识检索相互隔离，便于独立扩缩容、故障定位与组件替换。Docker Compose 统一编排应用服务、LiteLLM、PostgreSQL、嵌入服务和 Redis，使开发环境与部署环境保持一致，并为后续迁移到更规范的生产基础设施保留接口。</w:t>
      </w:r>
    </w:p>
    <w:p>
      <w:pPr>
        <w:pStyle w:val="ReportHeading3"/>
      </w:pPr>
      <w:r>
        <w:t>1.2.2 身份、会话与记忆模型</w:t>
      </w:r>
    </w:p>
    <w:p>
      <w:pPr>
        <w:pStyle w:val="ReportBody"/>
      </w:pPr>
      <w:r>
        <w:t>项目早期采用“每个用户对应一个独立智能体”的方式，能够实现天然隔离，但不同用户之间无法共享已验证的运维经验，且智能体数量随用户规模增长，增加了资源管理和版本维护成本。经过需求分析，系统调整为“共享银行运维智能体、用户独立会话、共享受治理记忆”的模型：所有用户复用统一的工具定义、系统提示和领域能力；每名用户仅能访问本人创建的会话与任务；经过筛选的公共运维知识可被不同用户检索和复用。</w:t>
      </w:r>
    </w:p>
    <w:p>
      <w:pPr>
        <w:pStyle w:val="ReportBody"/>
      </w:pPr>
      <w:r>
        <w:t>该模型同时处理了共享与隔离两项看似矛盾的要求。共享发生在领域能力、工具规范和非敏感运维经验层面，隔离发生在用户身份、会话消息、附件、日程和任务状态层面。后端对每次查询均绑定用户标识和会话归属，不依赖前端传入参数决定访问范围，从而避免通过修改请求参数读取他人数据。模型上下文中仅注入当前任务所需的信息，减少无关数据暴露和跨会话干扰。</w:t>
      </w:r>
    </w:p>
    <w:p>
      <w:pPr>
        <w:pStyle w:val="ReportHeading3"/>
      </w:pPr>
      <w:r>
        <w:t>1.2.3 关键数据流与运行拓扑</w:t>
      </w:r>
    </w:p>
    <w:p>
      <w:pPr>
        <w:pStyle w:val="ReportBody"/>
      </w:pPr>
      <w:r>
        <w:t>系统主数据流由“用户请求—身份校验—会话加载—任务编排—工具或检索执行—模型生成—结果持久化—流式返回”构成。附件先通过独立上传通道完成安全检查和内容提取，再以 upload_id 与 Turn 建立关联；主动监控任务则由服务端调度器直接触发，不依赖浏览器会话。两类入口最终汇入统一的工具、记忆、模型路由和审计能力，避免为交互式任务与后台任务分别维护两套实现。</w:t>
      </w:r>
    </w:p>
    <w:p>
      <w:pPr>
        <w:pStyle w:val="ReportBody"/>
      </w:pPr>
      <w:r>
        <w:t>运行环境由 API 服务、LiteLLM 网关、PostgreSQL、Redis、本地嵌入服务及持久化卷构成。PostgreSQL 保存用户、会话、Turn、任务配置和向量索引等持久状态；Redis 承担锁、信号量、限流和短期任务状态；LiteLLM 隔离上游模型差异；嵌入服务为长期知识提供本地向量化能力。整体拓扑采用“Agent 编排器加工程支撑层”的组织方式，并根据当前任务边界选择单一领域智能体，暂未引入多智能体协作所需的额外通信与一致性成本。</w:t>
      </w:r>
    </w:p>
    <w:p>
      <w:pPr>
        <w:pStyle w:val="ReportHeading2"/>
      </w:pPr>
      <w:r>
        <w:t>1.3 Agent 核心能力实现</w:t>
      </w:r>
    </w:p>
    <w:p>
      <w:pPr>
        <w:pStyle w:val="ReportBody"/>
      </w:pPr>
      <w:r>
        <w:t>依据 Agent“感知—规划/编排—工具—记忆—执行—反思”的闭环组成，本项目不再按页面按钮罗列功能，而是按照任务进入系统后的处理阶段说明核心实现。系统以 Letta 智能体为认知与状态载体，以后端业务规则限定动作空间，并以工具返回和数据库记录作为可验证的环境反馈。</w:t>
      </w:r>
    </w:p>
    <w:p>
      <w:pPr>
        <w:pStyle w:val="ReportHeading3"/>
      </w:pPr>
      <w:r>
        <w:t>1.3.1 多模态感知与输入治理</w:t>
      </w:r>
    </w:p>
    <w:p>
      <w:pPr>
        <w:pStyle w:val="ReportBody"/>
      </w:pPr>
      <w:r>
        <w:t>感知层负责将自然语言、文档、表格、演示文稿、图片和业务接口结果转换为智能体可用的任务状态。为满足运维现场中日志、报表、方案文档和截图混合出现的实际情况，系统构建统一附件处理管线，支持 PDF、DOCX、ODT、RTF、EPUB 等文档格式，XLSX、ODS、CSV、TSV 等表格格式，PPTX、ODP 等演示文稿格式，以及常见文本、数据和代码文件。对于 PDF 和演示文稿，系统优先提取结构化文本；当文本内容不足以表达图表、拓扑或截图信息时，再调用视觉理解流程补充分析，以控制时延和模型成本。</w:t>
      </w:r>
    </w:p>
    <w:p>
      <w:pPr>
        <w:pStyle w:val="ReportBody"/>
      </w:pPr>
      <w:r>
        <w:t>上传流程采用 XMLHttpRequest 预上传机制。客户端先并行上传附件并获得 upload_id，再提交对话请求，服务器根据标识加载已完成的文件结果。该设计将大文件传输与模型推理解耦，能够分别显示上传失败、解析失败和智能体处理失败，且支持页面刷新后的任务恢复。临时记录设置有效期和资源清理规则，防止未完成任务长期占用磁盘与数据库。</w:t>
      </w:r>
    </w:p>
    <w:p>
      <w:pPr>
        <w:pStyle w:val="ReportBody"/>
      </w:pPr>
      <w:r>
        <w:t>附件安全由确定性程序完成，而非交由模型判断。服务器限制单文件体积为20 MB，并检查扩展名、媒体类型、压缩包展开规模、文件数量和异常嵌套结构，以降低压缩炸弹与解析器滥用风险；超长文本进入上下文前执行截断和摘要；对旧版 DOC、XLS、PPT 等缺乏稳定安全解析链路的格式明确拒绝，并向用户返回转换建议。通过“格式白名单、资源限额、分阶段解析、失败可定位”的组合，感知层既扩展了输入范围，也控制了不可信内容进入模型前的风险。</w:t>
      </w:r>
    </w:p>
    <w:p>
      <w:pPr>
        <w:pStyle w:val="ReportHeading3"/>
      </w:pPr>
      <w:r>
        <w:t>1.3.2 任务理解与执行编排</w:t>
      </w:r>
    </w:p>
    <w:p>
      <w:pPr>
        <w:pStyle w:val="ReportBody"/>
      </w:pPr>
      <w:r>
        <w:t>编排层根据用户目标、当前会话状态和可用工具确定处理路径。对于明确的数据查询，系统直接调用对应只读工具；对于包含多个对象或多个步骤的运维问题，智能体依次完成对象识别、资产查询、状态验证、记忆检索和建议生成，并根据每次工具返回调整后续动作。该机制具有“行动—观察—再决策”的闭环特征，区别于预先固定全部步骤的普通 Prompt Chain。</w:t>
      </w:r>
    </w:p>
    <w:p>
      <w:pPr>
        <w:pStyle w:val="ReportBody"/>
      </w:pPr>
      <w:r>
        <w:t>编排过程设置最大步骤数、超时和失败终止条件，工具 Observation 必须由后端真实执行结果产生，不能由模型自行补写。项目当前主要采用单智能体与领域 Skill 组合，原因在于银行运维任务边界相对集中，单智能体更便于控制权限、延迟和状态一致性。显式 Plan-and-Execute、动态重规划及多智能体协同尚未纳入当前实现范围，相关能力作为后续演进方向进行论述。</w:t>
      </w:r>
    </w:p>
    <w:p>
      <w:pPr>
        <w:pStyle w:val="ReportHeading3"/>
      </w:pPr>
      <w:r>
        <w:t>1.3.3 受控工具调用与领域 Skill</w:t>
      </w:r>
    </w:p>
    <w:p>
      <w:pPr>
        <w:pStyle w:val="ReportBody"/>
      </w:pPr>
      <w:r>
        <w:t>数字员工必须通过工具读取真实业务数据，才能形成可验证的分析结论。项目为数据中心、设备、运行状态、厂商信息和汇总统计分别提供只读工具，并提供受控的邮件、记忆检索和记忆保存能力。所有工具参数采用 Zod 模式校验，后端再次执行用户权限和资源归属检查；工具返回结构化结果，模型负责解释和组织，不负责伪造数据。系统未向智能体开放 Shell、任意 SQL 或任意文件读写接口，以最小权限原则限制潜在影响范围。</w:t>
      </w:r>
    </w:p>
    <w:p>
      <w:pPr>
        <w:pStyle w:val="ReportBody"/>
      </w:pPr>
      <w:r>
        <w:t>在工具之上，项目引入 Skill 作为领域流程封装。以基础设施告警诊断技能为例，技能既可由用户通过明确指令触发，也可在意图匹配后隐式触发。执行时首先提取 IP 地址、主机名或设备标识，随后查询资产与当前状态，结合长期记忆中的相似事件形成初步判断，再输出按优先级排列的安全检查步骤和对应厂商联系信息。报告中明确区分工具返回的事实、基于证据形成的推断以及仍需人工验证的项目，避免模型以确定语气掩盖信息缺口。</w:t>
      </w:r>
    </w:p>
    <w:p>
      <w:pPr>
        <w:pStyle w:val="ReportHeading3"/>
      </w:pPr>
      <w:r>
        <w:t>1.3.4 短期状态、长期记忆与语义检索</w:t>
      </w:r>
    </w:p>
    <w:p>
      <w:pPr>
        <w:pStyle w:val="ReportBody"/>
      </w:pPr>
      <w:r>
        <w:t>项目将智能体记忆划分为即时状态与长期知识两层。即时状态保存当前角色、任务约束、近期对话和工具轨迹，用于维持单次会话连续性；长期知识用于沉淀跨会话可复用的运维经验。该分层避免将完整历史对话持续塞入上下文，也使长期知识可以独立审核、检索和重建。</w:t>
      </w:r>
    </w:p>
    <w:p>
      <w:pPr>
        <w:pStyle w:val="ReportBody"/>
      </w:pPr>
      <w:r>
        <w:t>知识内容以 Markdown 文件作为可审阅的事实来源，并按约1200个字符、180个字符重叠的策略切分。每个片段使用本地 BGE-M3 生成1024维向量，写入 pgvector 后执行余弦相似度检索，每次最多召回12个相关片段。向量索引只承担加速与匹配作用，可根据 Markdown 原文重新构建。该设计兼顾了人工审阅、版本管理与语义检索效率，避免知识只存在于不可解释的向量结果中。</w:t>
      </w:r>
    </w:p>
    <w:p>
      <w:pPr>
        <w:pStyle w:val="ReportHeading3"/>
      </w:pPr>
      <w:r>
        <w:t>1.3.5 反思提炼与经验回流</w:t>
      </w:r>
    </w:p>
    <w:p>
      <w:pPr>
        <w:pStyle w:val="ReportBody"/>
      </w:pPr>
      <w:r>
        <w:t>后台反思任务每5分钟扫描已完成对话，单次最多处理12个 Turn，从中提取具有独立语义、明确适用条件和后续复用价值的内容。长期知识仅保留 bank_operations_lesson 和 bank_operations_policy 两类，并拒绝写入与银行运维无关的研究材料、个人信息、账户凭证及未整理的原始对话。反思结果先形成独立知识条目，再进入向量索引，不直接修改会话事实。</w:t>
      </w:r>
    </w:p>
    <w:p>
      <w:pPr>
        <w:pStyle w:val="ReportBody"/>
      </w:pPr>
      <w:r>
        <w:t>当新经验与既有知识发生差异时，系统不直接覆盖历史记录，而是以带时间标记的独立版本保存，保留制度演进和环境差异。该机制对应手册中的 Reflection 思想，但本项目将“反思”限定为后台知识提炼和版本化回流，不允许模型根据一次对话自动改变权限策略或生产规则，从而兼顾经验演进与治理稳定性。</w:t>
      </w:r>
    </w:p>
    <w:p>
      <w:pPr>
        <w:pStyle w:val="ReportHeading2"/>
      </w:pPr>
      <w:r>
        <w:t>1.4 运维业务场景实现</w:t>
      </w:r>
    </w:p>
    <w:p>
      <w:pPr>
        <w:pStyle w:val="ReportHeading3"/>
      </w:pPr>
      <w:r>
        <w:t>1.4.1 运维工作台与交互服务</w:t>
      </w:r>
    </w:p>
    <w:p>
      <w:pPr>
        <w:pStyle w:val="ReportBody"/>
      </w:pPr>
      <w:r>
        <w:t>系统前端围绕运维人员的高频工作对象组织功能，而非仅提供单一聊天窗口。基础设施总览用于呈现设备规模、运行状态和重要指标；设备看板支持按地址、名称和状态定位目标；厂商目录维护服务方、联系人和协同信息；智能助手承担自然语言查询、故障分析与知识问答；日常安排模块用于配置固定时间的运维提醒与邮件任务。各模块通过统一身份会话和后端数据接口协同，减少重复登录和数据割裂。</w:t>
      </w:r>
    </w:p>
    <w:p>
      <w:pPr>
        <w:pStyle w:val="ReportBody"/>
      </w:pPr>
      <w:r>
        <w:t>智能助手采用流式输出，使长篇分析能够逐步展示，并支持 Markdown、代码块和数学公式渲染。所有模型生成内容在进入页面前经过 DOMPurify 清洗，降低脚本注入风险。附件支持点击选择、拖拽和粘贴三种入口，并展示独立上传进度。页面不会在模型持续生成时强制滚动到底部，用户阅读历史内容时可保持当前位置。对于刷新或短暂断网，页面可根据持久化任务状态恢复处理进度和最终结果，避免将浏览器生命周期错误地等同于后端任务生命周期。</w:t>
      </w:r>
    </w:p>
    <w:p>
      <w:pPr>
        <w:pStyle w:val="ReportHeading3"/>
      </w:pPr>
      <w:r>
        <w:t>1.4.2 日常安排与受控邮件</w:t>
      </w:r>
    </w:p>
    <w:p>
      <w:pPr>
        <w:pStyle w:val="ReportBody"/>
      </w:pPr>
      <w:r>
        <w:t>日常安排模块支持用户配置固定时间的例行任务，例如每日运行状态摘要、待办提醒和运维日报邮件。服务端调度器根据用户与任务配置执行，不要求浏览器保持在线。邮件发送身份与用户账户在服务器侧绑定，模型无法读取 SMTP 凭证，也不能自行替换发件人。授权码使用 AES-256-GCM 加密保存，密钥与业务数据分离管理。</w:t>
      </w:r>
    </w:p>
    <w:p>
      <w:pPr>
        <w:pStyle w:val="ReportBody"/>
      </w:pPr>
      <w:r>
        <w:t>由于发送邮件会对外部系统和人员产生直接影响，项目增加再次认证机制。用户启用或修改每日邮件任务时必须重新输入账户密码；认证成功后生成5分钟有效、单次使用的操作令牌，服务端在执行配置变更时以原子方式消费该令牌。连续5次密码错误将触发15分钟锁定。通过“身份复核、短期令牌、一次消费、失败锁定、凭证加密”的控制链，模型只负责生成内容建议，最终动作由确定性程序在明确授权下完成。</w:t>
      </w:r>
    </w:p>
    <w:p>
      <w:pPr>
        <w:pStyle w:val="ReportHeading3"/>
      </w:pPr>
      <w:r>
        <w:t>1.4.3 应急故障辅助处置</w:t>
      </w:r>
    </w:p>
    <w:p>
      <w:pPr>
        <w:pStyle w:val="ReportBody"/>
      </w:pPr>
      <w:r>
        <w:t>面向应急故障，系统将设备查询、状态核验、历史经验检索、厂商匹配和建议生成编排为统一流程。用户输入告警文本、设备地址或故障截图后，数字员工首先确认对象，再读取当前事实，随后关联相似经验并输出分级检查步骤。建议遵循“先低风险、后高风险，先验证、后处置”的顺序，不直接执行重启、删除、配置修改等动作。</w:t>
      </w:r>
    </w:p>
    <w:p>
      <w:pPr>
        <w:pStyle w:val="ReportBody"/>
      </w:pPr>
      <w:r>
        <w:t>当证据不足或多个原因均可能成立时，系统以假设列表呈现，并说明每项假设所需的验证信息；当需要外部协同时，关联厂商和联系人信息，减少人工跨系统查找。该场景体现了数字员工在突发事件中的定位：压缩信息收集和初步判断时间，为值班人员提供结构化决策支持，但最终生产处置仍由授权人员完成。</w:t>
      </w:r>
    </w:p>
    <w:p>
      <w:pPr>
        <w:pStyle w:val="ReportHeading2"/>
      </w:pPr>
      <w:r>
        <w:t>1.5 工程化支撑与安全保障</w:t>
      </w:r>
    </w:p>
    <w:p>
      <w:pPr>
        <w:pStyle w:val="ReportBody"/>
      </w:pPr>
      <w:r>
        <w:t>参照企业级 Agent 对可观测、可容错、可计量、可审计和可上线的通用要求，本项目结合现阶段规模，重点完成任务状态、并发资源、上下文、模型故障、安全权限和链路诊断六个方面的工程化建设。</w:t>
      </w:r>
    </w:p>
    <w:p>
      <w:pPr>
        <w:pStyle w:val="ReportHeading3"/>
      </w:pPr>
      <w:r>
        <w:t>1.5.1 Turn 持久化与幂等恢复</w:t>
      </w:r>
    </w:p>
    <w:p>
      <w:pPr>
        <w:pStyle w:val="ReportBody"/>
      </w:pPr>
      <w:r>
        <w:t>长文本生成、附件视觉分析和多工具调用可能持续较长时间，客户端中断并不代表服务端工作应立即丢弃。项目将任务状态划分为待处理、运行中、成功和失败，并在关键阶段更新持久化记录。浏览器刷新后，可根据会话和 request_id 查询既有 Turn，恢复生成状态或读取最终结果。网络层发生重复提交时，后端优先返回原任务，而不是再次调用模型或重复执行外部动作。</w:t>
      </w:r>
    </w:p>
    <w:p>
      <w:pPr>
        <w:pStyle w:val="ReportBody"/>
      </w:pPr>
      <w:r>
        <w:t>该机制对邮件、记忆写入等具有副作用的操作尤为重要。系统在执行前记录幂等标识，在成功后固化结果；当客户端无法确认响应时，可查询原记录而不是盲目重试。由此，可靠性保障从“捕获异常并返回错误”提升为“保存任务事实、识别重复请求并支持结果恢复”。</w:t>
      </w:r>
    </w:p>
    <w:p>
      <w:pPr>
        <w:pStyle w:val="ReportHeading3"/>
      </w:pPr>
      <w:r>
        <w:t>1.5.2 并发协调与资源治理</w:t>
      </w:r>
    </w:p>
    <w:p>
      <w:pPr>
        <w:pStyle w:val="ReportBody"/>
      </w:pPr>
      <w:r>
        <w:t>由于同一会话中的多次请求会共同修改上下文和记忆状态，系统基于 Redis 为每个会话设置分布式锁，确保同一会话按顺序执行；不同会话之间允许并行处理。同时设置全局并发信号量，对模型调用和资源密集型附件解析进行总量控制，当前配置上限为32。该设计既避免单一用户阻塞全部请求，也防止瞬时并发耗尽模型网关、数据库连接或内存资源。</w:t>
      </w:r>
    </w:p>
    <w:p>
      <w:pPr>
        <w:pStyle w:val="ReportBody"/>
      </w:pPr>
      <w:r>
        <w:t>并发控制与任务持久化相互配合：锁负责约束执行顺序，Turn 负责记录执行事实，request_id 负责识别重复提交，信号量负责约束总体容量。四者分别解决顺序、一致性、幂等和资源上限问题，不能由单一机制相互替代。</w:t>
      </w:r>
    </w:p>
    <w:p>
      <w:pPr>
        <w:pStyle w:val="ReportHeading3"/>
      </w:pPr>
      <w:r>
        <w:t>1.5.3 上下文压缩与 Token 治理</w:t>
      </w:r>
    </w:p>
    <w:p>
      <w:pPr>
        <w:pStyle w:val="ReportBody"/>
      </w:pPr>
      <w:r>
        <w:t>随着多轮对话和附件数量增加，模型上下文可能超过窗口限制，并显著增加推理时延。系统在请求进入模型前计算上下文字节规模；达到阈值后，优先保留系统约束、近期对话、当前问题和相关检索结果，对较早文本进行摘要，对历史图片转化为文字结论。当前轮次所需图片仍以原始视觉输入传递，确保压缩不会破坏正在处理的核心证据。</w:t>
      </w:r>
    </w:p>
    <w:p>
      <w:pPr>
        <w:pStyle w:val="ReportBody"/>
      </w:pPr>
      <w:r>
        <w:t>压缩策略同时承担成本与质量控制。系统不以简单删除最早消息作为唯一手段，而是按信息价值保留硬约束、当前证据和近期工具轨迹；对于已被知识库吸收的历史经验，仅保留引用或摘要。后续还需增加按模型计费和任务类型统计的 Token 预算，当前阶段主要完成了上下文规模控制和历史图像文本化。</w:t>
      </w:r>
    </w:p>
    <w:p>
      <w:pPr>
        <w:pStyle w:val="ReportHeading3"/>
      </w:pPr>
      <w:r>
        <w:t>1.5.4 模型路由与故障容错</w:t>
      </w:r>
    </w:p>
    <w:p>
      <w:pPr>
        <w:pStyle w:val="ReportBody"/>
      </w:pPr>
      <w:r>
        <w:t>模型调用通过本地 LiteLLM 网关统一管理。主模型出现超时、限流、连接中断或服务端错误时，系统按照指数退避并加入随机抖动进行有限重试，随后可切换至备用模型；对于参数错误、鉴权失败等确定性客户端错误，不进行无意义重试。若已经向用户输出可见流式内容，或已经执行邮件、记忆写入等副作用，则禁止切换模型重新生成，以避免前后文不一致或重复执行。该策略将故障类型、输出状态与业务副作用共同纳入容错决策。</w:t>
      </w:r>
    </w:p>
    <w:p>
      <w:pPr>
        <w:pStyle w:val="ReportBody"/>
      </w:pPr>
      <w:r>
        <w:t>当前路由采用主模型优先、备用模型兜底的确定性顺序，已具备基础降级能力，但尚未实现三态熔断器和基于成本、时延、质量的动态模型选择。因此，现有能力的准确范围为“分类重试与主备切换”，熔断、健康评分和动态路由仍属于后续建设内容。</w:t>
      </w:r>
    </w:p>
    <w:p>
      <w:pPr>
        <w:pStyle w:val="ReportHeading3"/>
      </w:pPr>
      <w:r>
        <w:t>1.5.5 权限控制与安全边界</w:t>
      </w:r>
    </w:p>
    <w:p>
      <w:pPr>
        <w:pStyle w:val="ReportBody"/>
      </w:pPr>
      <w:r>
        <w:t>项目采用 HttpOnly、SameSite 会话 Cookie 降低客户端脚本窃取凭证的风险，用户密码使用带独立盐值的 scrypt 哈希保存，并通过 Redis 对登录尝试进行速率限制。业务接口在后端验证登录状态、用户身份、会话归属和资源权限；前端隐藏按钮仅作为交互优化，不作为授权依据。模型生成的网页内容经过清洗后再渲染，上传文件执行白名单和资源限制，邮件凭证以加密形式保存。</w:t>
      </w:r>
    </w:p>
    <w:p>
      <w:pPr>
        <w:pStyle w:val="ReportBody"/>
      </w:pPr>
      <w:r>
        <w:t>项目曾尝试通过正则规则同时检测输入与输出中的提示注入内容，但在兼容既有审批表达时出现语义误判，说明单纯依赖关键词和正则无法稳定识别复杂指令攻击。该方案未作为当前有效安全能力保留。由此形成的工程结论是：提示注入防护应采用分层机制，包括可信内容与外部内容分区、工具最小权限、参数模式校验、后端确定性授权、高风险操作人工确认、输出审查和完整审计，而不能将安全责任集中在一组文本匹配规则上。</w:t>
      </w:r>
    </w:p>
    <w:p>
      <w:pPr>
        <w:pStyle w:val="ReportHeading3"/>
      </w:pPr>
      <w:r>
        <w:t>1.5.6 可观测性与网络链路排障</w:t>
      </w:r>
    </w:p>
    <w:p>
      <w:pPr>
        <w:pStyle w:val="ReportBody"/>
      </w:pPr>
      <w:r>
        <w:t>远程访问阶段曾出现连接失败、请求中止、接口404及流式响应异常。项目按照“浏览器—本地网络—云端 frps—内网 frpc—应用 API—LiteLLM—模型服务”的完整链路分层定位，通过服务日志、端口连通性、反向代理状态、隧道重连记录和请求标识进行交叉验证。分析结果表明，部分异常并非应用路由缺失，而是 FRP 连接重建和代理 I/O 超时导致上游连接提前终止。</w:t>
      </w:r>
    </w:p>
    <w:p>
      <w:pPr>
        <w:pStyle w:val="ReportBody"/>
      </w:pPr>
      <w:r>
        <w:t>针对该问题，项目将临时公共隧道调整为自建云端 FRP 服务，统一服务端与客户端配置，并对超时、重连和日志信息进行规范化。该过程形成了可复用的链路排障方法：先确定错误发生层级，再验证上下游状态，最后结合时间一致的日志还原请求路径，避免仅凭浏览器错误页面修改业务代码。与此同时，LiteLLM 与 Langfuse/OpenTelemetry 记录模型、请求、响应、时延、Token 和成本信息；现阶段尚未完整贯通用户会话、Turn、工具和通知，属于模型调用层可观测能力。</w:t>
      </w:r>
    </w:p>
    <w:p>
      <w:pPr>
        <w:pStyle w:val="ReportHeading2"/>
      </w:pPr>
      <w:r>
        <w:t>1.6 7×24 主动运维闭环</w:t>
      </w:r>
    </w:p>
    <w:p>
      <w:pPr>
        <w:pStyle w:val="ReportHeading3"/>
      </w:pPr>
      <w:r>
        <w:t>1.6.1 状态采集与事件识别</w:t>
      </w:r>
    </w:p>
    <w:p>
      <w:pPr>
        <w:pStyle w:val="ReportBody"/>
      </w:pPr>
      <w:r>
        <w:t>为使数字员工真正具备持续在线能力，项目实现独立于用户会话的主动监控任务。调度器每分钟更新设备在线状态、CPU 使用率、内存使用率及北京时间心跳，并依据连续观测结果识别状态变化。设备连续3次未收到有效心跳后判定为离线，避免单次网络抖动直接触发故障事件；系统同时设置事件数量上限，防止异常数据在短时间内形成无限告警。</w:t>
      </w:r>
    </w:p>
    <w:p>
      <w:pPr>
        <w:pStyle w:val="ReportBody"/>
      </w:pPr>
      <w:r>
        <w:t>事件生成采用状态迁移去重机制。只有设备由正常转为异常、异常级别明显变化或异常恢复时，才形成新的处置事件；同一设备持续处于相同异常状态时，不重复创建等价记录。该机制使告警对象从离散采样值转化为具有开始时间、持续状态和恢复结果的事件，为后续诊断与通知提供稳定输入。</w:t>
      </w:r>
    </w:p>
    <w:p>
      <w:pPr>
        <w:pStyle w:val="ReportHeading3"/>
      </w:pPr>
      <w:r>
        <w:t>1.6.2 智能分析与降级策略</w:t>
      </w:r>
    </w:p>
    <w:p>
      <w:pPr>
        <w:pStyle w:val="ReportBody"/>
      </w:pPr>
      <w:r>
        <w:t>主动事件进入分析阶段后，系统首先查询设备资产、当前指标、所属系统和厂商信息，再检索长期记忆中的同类现象、既有处置步骤与制度约束。智能体基于上述证据形成结构化诊断摘要，包括已确认事实、可能原因、建议检查顺序、风险提示和协同对象。对于信息不足的情况，输出必须明确列出待核实项目，不能以模型推断替代监控事实。</w:t>
      </w:r>
    </w:p>
    <w:p>
      <w:pPr>
        <w:pStyle w:val="ReportBody"/>
      </w:pPr>
      <w:r>
        <w:t>考虑到模型服务本身可能在故障期间不可用，项目设置确定性降级路径。当主模型及备用模型均无法完成分析时，系统根据设备类型、异常指标和厂商映射生成基础告警模板，至少保留设备标识、异常时间、关键指标、建议人工检查项和联系方式。由此，模型能力用于提高诊断质量，但不成为告警链路能否工作的单点依赖。</w:t>
      </w:r>
    </w:p>
    <w:p>
      <w:pPr>
        <w:pStyle w:val="ReportHeading3"/>
      </w:pPr>
      <w:r>
        <w:t>1.6.3 通知协同与闭环管理</w:t>
      </w:r>
    </w:p>
    <w:p>
      <w:pPr>
        <w:pStyle w:val="ReportBody"/>
      </w:pPr>
      <w:r>
        <w:t>为减少告警风暴，项目设置15分钟通知冷却窗口，将同一时间段内相关事件合并处理，单封邮件最多汇总3台设备。邮件内容按“事件概况—证据摘要—初步判断—建议步骤—厂商协同信息”组织，使接收人员能够快速理解优先级和下一步行动。状态恢复时生成恢复记录，与原事件建立关联，便于后续统计故障持续时间与处置效果。</w:t>
      </w:r>
    </w:p>
    <w:p>
      <w:pPr>
        <w:pStyle w:val="ReportBody"/>
      </w:pPr>
      <w:r>
        <w:t>主动运维闭环不依赖用户保持登录或打开页面，其运行链路为“周期采集—状态判断—事件去重—知识关联—智能分析—降级兜底—受控通知—恢复记录”。该能力将项目从被动问答系统扩展为持续执行型数字员工，也体现了系统的核心价值：在日常阶段降低重复劳动，在突发阶段压缩信息汇聚和初步判断时间，在全过程中保持权限、证据与状态可追溯。</w:t>
      </w:r>
    </w:p>
    <w:p>
      <w:pPr>
        <w:pStyle w:val="ReportHeading2"/>
      </w:pPr>
      <w:r>
        <w:t>1.7 项目验证与成果总结</w:t>
      </w:r>
    </w:p>
    <w:p>
      <w:pPr>
        <w:pStyle w:val="ReportHeading3"/>
      </w:pPr>
      <w:r>
        <w:t>1.7.1 功能正确性验证</w:t>
      </w:r>
    </w:p>
    <w:p>
      <w:pPr>
        <w:pStyle w:val="ReportBody"/>
      </w:pPr>
      <w:r>
        <w:t>测试范围覆盖身份隔离、会话恢复、附件解析、模型路由、工具调用、记忆检索、主动监控和邮件授权等关键路径，并通过人工联调核验流式交互、页面刷新恢复和定时任务执行。验证过程不仅检查最终回答，还检查工具参数、权限结果、任务状态和外部动作是否符合预期，从结果与过程两个层面确认功能正确性。</w:t>
      </w:r>
    </w:p>
    <w:p>
      <w:pPr>
        <w:pStyle w:val="ReportHeading3"/>
      </w:pPr>
      <w:r>
        <w:t>1.7.2 鲁棒性验证与现存限制</w:t>
      </w:r>
    </w:p>
    <w:p>
      <w:pPr>
        <w:pStyle w:val="ReportBody"/>
      </w:pPr>
      <w:r>
        <w:t>当前自动化测试共57项，其中56项通过；未通过项为当前运行环境下的 PDF 多模态页面渲染数量校验，实际结果与预期页面数不一致。该问题说明附件视觉链路仍需补充环境依赖检测与跨环境基线，现阶段将其列为明确的环境适配限制。实际故障记录则验证了网络链路分层排障、异步任务恢复和模型容错策略的有效性。</w:t>
      </w:r>
    </w:p>
    <w:p>
      <w:pPr>
        <w:pStyle w:val="ReportBody"/>
      </w:pPr>
      <w:r>
        <w:t>从评估完整性看，项目已具备模型时延、Token、成本和错误信息记录，但尚未建立固定场景评估集，也未形成任务成功率、工具错误率、平均步骤数和安全事件数等系统指标。按照准确性、鲁棒性和效率三维评估要求，现阶段成果属于功能与异常路径验证，距离持续回归和线上质量度量仍有提升空间。</w:t>
      </w:r>
    </w:p>
    <w:p>
      <w:pPr>
        <w:pStyle w:val="ReportHeading3"/>
      </w:pPr>
      <w:r>
        <w:t>1.7.3 主要成果与技术亮点</w:t>
      </w:r>
    </w:p>
    <w:p>
      <w:pPr>
        <w:pStyle w:val="ReportBody"/>
      </w:pPr>
      <w:r>
        <w:t>本项目形成了面向银行运维场景的数字员工原型，其成果并非单一模型接口的封装，而是由业务入口、智能体、工具、记忆、任务系统和安全机制共同组成的工程系统。第一，完成从“每用户独立智能体”向“共享领域智能体、隔离用户会话、治理共享记忆”的架构演进，在经验复用与数据隔离之间建立明确边界。第二，形成文本、表格、文档、演示文稿和图片的统一处理流程，并通过预上传、并行解析和任务恢复提升复杂附件场景的可用性。第三，建立 Markdown 可审阅原文、BGE-M3 向量化和 pgvector 检索相结合的长期记忆体系，使运维经验能够持续沉淀并可追溯复核。</w:t>
      </w:r>
    </w:p>
    <w:p>
      <w:pPr>
        <w:pStyle w:val="ReportBody"/>
      </w:pPr>
      <w:r>
        <w:t>第四，针对长任务和多用户场景实现 Turn 持久化、request_id 幂等、会话分布式锁和全局并发控制，降低网络重试、页面刷新和并发写入造成的不一致。第五，建立主备模型路由、分类重试及副作用保护机制，在提高模型可用性的同时避免重复输出和重复执行。第六，通过受控工具、技能流程、再次认证和确定性后端授权限制智能体能力边界。第七，完成无需用户在线的主动监控、诊断、告警合并和恢复记录链路，使“7×24小时在线数字员工”的建设背景落实为可运行的业务闭环。</w:t>
      </w:r>
    </w:p>
    <w:p>
      <w:pPr>
        <w:pStyle w:val="ReportHeading1"/>
      </w:pPr>
      <w:r>
        <w:t>二、实习收获</w:t>
      </w:r>
    </w:p>
    <w:p>
      <w:pPr>
        <w:pStyle w:val="ReportHeading2"/>
      </w:pPr>
      <w:r>
        <w:t>2.1 技术能力提升</w:t>
      </w:r>
    </w:p>
    <w:p>
      <w:pPr>
        <w:pStyle w:val="ReportHeading3"/>
      </w:pPr>
      <w:r>
        <w:t>2.1.1 Agent 系统架构能力</w:t>
      </w:r>
    </w:p>
    <w:p>
      <w:pPr>
        <w:pStyle w:val="ReportBody"/>
      </w:pPr>
      <w:r>
        <w:t>通过本项目，进一步理解了 Agent 系统与传统问答应用之间的本质差异。传统问答主要关注输入与输出质量，而可执行型 Agent 还必须管理身份、状态、上下文、工具权限、异步任务和副作用。项目中的共享智能体、独立会话和共享记忆并非简单的数据表拆分，而是对能力复用、信息隔离、成本控制和运维治理的综合权衡。该实践提升了从业务目标出发划分系统边界、设计模块职责并处理非功能需求的能力。</w:t>
      </w:r>
    </w:p>
    <w:p>
      <w:pPr>
        <w:pStyle w:val="ReportBody"/>
      </w:pPr>
      <w:r>
        <w:t>同时，项目实践表明模型不应直接承担所有业务逻辑。自然语言理解、信息归纳和候选方案生成适合由模型完成；身份认证、权限判断、资源限制、任务幂等和外部动作执行则应由确定性程序控制。将概率性智能与确定性工程进行合理分工，是构建可落地 Agent 系统的关键认识。</w:t>
      </w:r>
    </w:p>
    <w:p>
      <w:pPr>
        <w:pStyle w:val="ReportHeading3"/>
      </w:pPr>
      <w:r>
        <w:t>2.1.2 记忆与检索增强能力</w:t>
      </w:r>
    </w:p>
    <w:p>
      <w:pPr>
        <w:pStyle w:val="ReportBody"/>
      </w:pPr>
      <w:r>
        <w:t>在长期记忆建设过程中，掌握了从内容筛选、语义切分、嵌入生成、向量检索到上下文注入的完整流程，并认识到“可检索”不等于“可治理”。若直接将全部对话写入知识库，会造成重复、冲突、隐私混入和检索噪声。项目通过限定知识类别、后台反思提取、独立版本保存和 Markdown 原文审阅，将记忆建设转化为受约束的知识治理过程。</w:t>
      </w:r>
    </w:p>
    <w:p>
      <w:pPr>
        <w:pStyle w:val="ReportBody"/>
      </w:pPr>
      <w:r>
        <w:t>检索增强生成同样需要关注召回范围、片段大小、来源标识与时间有效性。过小片段会失去故障上下文，过大片段会引入无关内容；仅按相似度排序可能召回过时制度。因此，后续应用中应将语义相关性与时间、来源、设备类型和制度状态等元数据共同纳入检索策略。</w:t>
      </w:r>
    </w:p>
    <w:p>
      <w:pPr>
        <w:pStyle w:val="ReportHeading3"/>
      </w:pPr>
      <w:r>
        <w:t>2.1.3 分布式可靠性能力</w:t>
      </w:r>
    </w:p>
    <w:p>
      <w:pPr>
        <w:pStyle w:val="ReportBody"/>
      </w:pPr>
      <w:r>
        <w:t>项目涉及浏览器、应用服务、Redis、PostgreSQL、模型网关、嵌入服务和远程隧道等多个组件，任一环节发生超时或重试都可能影响任务一致性。通过实现 Turn 状态机、request_id 幂等、会话锁、全局信号量和任务恢复，掌握了长任务条件下状态持久化与并发协调的基本方法。尤其是在模型输出已经展示或外部动作已经发生后，不能简单切换模型重新执行，而需要将业务副作用纳入重试决策。</w:t>
      </w:r>
    </w:p>
    <w:p>
      <w:pPr>
        <w:pStyle w:val="ReportBody"/>
      </w:pPr>
      <w:r>
        <w:t>上述实践强化了对“失败是分布式系统的正常状态”的理解。可靠性设计应提前回答任务执行到何处、结果是否已经产生、客户端是否能够恢复、重复请求是否会产生副作用以及依赖不可用时系统能够保留哪些核心能力，而不是仅在异常发生后追加错误处理。</w:t>
      </w:r>
    </w:p>
    <w:p>
      <w:pPr>
        <w:pStyle w:val="ReportHeading2"/>
      </w:pPr>
      <w:r>
        <w:t>2.2 工程方法提升</w:t>
      </w:r>
    </w:p>
    <w:p>
      <w:pPr>
        <w:pStyle w:val="ReportHeading3"/>
      </w:pPr>
      <w:r>
        <w:t>2.2.1 需求、设计与验证闭环</w:t>
      </w:r>
    </w:p>
    <w:p>
      <w:pPr>
        <w:pStyle w:val="ReportBody"/>
      </w:pPr>
      <w:r>
        <w:t>实习期间逐步形成了从业务目标到验收证据的闭环方法。以7×24主动运维为例，需求并非“增加定时器”，而是要求系统在无人操作时持续工作。由此继续分解出状态采集、异常判定、事件去重、知识关联、模型降级、通知合并和恢复记录等子能力，并为连续心跳次数、冷却窗口和单次汇总数量设置可验证规则。通过这种分解，抽象目标可以转化为可实现、可测试和可复盘的工程指标。</w:t>
      </w:r>
    </w:p>
    <w:p>
      <w:pPr>
        <w:pStyle w:val="ReportBody"/>
      </w:pPr>
      <w:r>
        <w:t>需求变更时，同样需要评估对身份模型、数据结构、接口契约和历史兼容性的影响。例如从多智能体模式调整为共享智能体模式，不仅修改创建逻辑，还涉及会话归属、记忆范围、并发锁粒度和迁移策略。该过程提升了识别变更影响面和控制回归风险的能力。</w:t>
      </w:r>
    </w:p>
    <w:p>
      <w:pPr>
        <w:pStyle w:val="ReportHeading3"/>
      </w:pPr>
      <w:r>
        <w:t>2.2.2 基于证据的链路排障</w:t>
      </w:r>
    </w:p>
    <w:p>
      <w:pPr>
        <w:pStyle w:val="ReportBody"/>
      </w:pPr>
      <w:r>
        <w:t>在远程访问和模型服务异常排查中，形成了按链路分层、按时间关联证据的排障方法。浏览器显示404或连接中断，并不能直接证明应用路由不存在；只有将客户端时间、隧道日志、应用请求日志、LiteLLM 记录和模型上游响应进行对应，才能确定故障位置。先缩小层级，再验证假设，能够减少无依据修改和重复试错。</w:t>
      </w:r>
    </w:p>
    <w:p>
      <w:pPr>
        <w:pStyle w:val="ReportBody"/>
      </w:pPr>
      <w:r>
        <w:t>该方法同样适用于 Agent 输出问题。需要分别检查用户输入、上下文压缩、检索片段、工具结果、系统提示、模型响应和前端渲染，而不能将所有异常统称为模型效果问题。基于证据还原完整请求路径，是复杂智能系统运维与质量改进的重要能力。</w:t>
      </w:r>
    </w:p>
    <w:p>
      <w:pPr>
        <w:pStyle w:val="ReportHeading3"/>
      </w:pPr>
      <w:r>
        <w:t>2.2.3 测试、文档与可观测性</w:t>
      </w:r>
    </w:p>
    <w:p>
      <w:pPr>
        <w:pStyle w:val="ReportBody"/>
      </w:pPr>
      <w:r>
        <w:t>项目开发过程中逐步将测试、文档和可观测性纳入功能完成标准。自动化测试用于验证权限隔离、格式解析和状态转换；变更记录用于说明问题现象、原因、修复方案与遗留风险；模型链路追踪用于分析时延、Token 和异常类型。三者共同构成工程证据，使后续维护者能够理解系统为何采用当前方案，并能够判断修改是否破坏既有约束。</w:t>
      </w:r>
    </w:p>
    <w:p>
      <w:pPr>
        <w:pStyle w:val="ReportBody"/>
      </w:pPr>
      <w:r>
        <w:t>本次实习也暴露了跨环境测试不足的问题。PDF 多模态渲染用例在当前环境未通过，说明依赖外部渲染组件的测试不能只验证业务代码，还应检查字体、转换器版本和系统库。对于此类问题，应建立环境自检、固定测试样本和明确的失败诊断信息。</w:t>
      </w:r>
    </w:p>
    <w:p>
      <w:pPr>
        <w:pStyle w:val="ReportHeading2"/>
      </w:pPr>
      <w:r>
        <w:t>2.3 职业素养提升</w:t>
      </w:r>
    </w:p>
    <w:p>
      <w:pPr>
        <w:pStyle w:val="ReportHeading3"/>
      </w:pPr>
      <w:r>
        <w:t>2.3.1 安全边界与风险意识</w:t>
      </w:r>
    </w:p>
    <w:p>
      <w:pPr>
        <w:pStyle w:val="ReportBody"/>
      </w:pPr>
      <w:r>
        <w:t>银行运维场景要求系统在提高效率的同时保持审慎。实习过程中形成了“能力越强，约束越明确”的安全意识：模型可以提出建议，但生产事实必须来自工具；模型可以生成邮件正文，但发件身份和发送授权必须由后端控制；模型可以处理附件，但文件类型、资源规模和解压行为必须由程序限制；模型可以关联经验，但个人信息和凭证不能进入共享记忆。</w:t>
      </w:r>
    </w:p>
    <w:p>
      <w:pPr>
        <w:pStyle w:val="ReportBody"/>
      </w:pPr>
      <w:r>
        <w:t>提示注入规则的回退也体现了安全工作的严谨性。安全功能不能以“已经增加规则”为完成标准，而应验证误报、漏报和业务兼容性。当某项控制无法稳定运行时，应明确其当前状态和风险，采用更可靠的分层方案，而不是保留名义上存在、实际可能阻断正常业务的机制。</w:t>
      </w:r>
    </w:p>
    <w:p>
      <w:pPr>
        <w:pStyle w:val="ReportHeading3"/>
      </w:pPr>
      <w:r>
        <w:t>2.3.2 技术沟通与复盘能力</w:t>
      </w:r>
    </w:p>
    <w:p>
      <w:pPr>
        <w:pStyle w:val="ReportBody"/>
      </w:pPr>
      <w:r>
        <w:t>项目变更涉及模型、前端、后端、数据库、网络和部署等多个方向，需要使用统一术语描述问题、方案和验证结果。通过持续记录变更与故障，逐步掌握了按“背景—现象—影响—原因—方案—验证—遗留问题”组织技术材料的方法。该结构有助于团队成员快速理解上下文，也能避免将推测写成结论。</w:t>
      </w:r>
    </w:p>
    <w:p>
      <w:pPr>
        <w:pStyle w:val="ReportBody"/>
      </w:pPr>
      <w:r>
        <w:t>在复盘过程中，重点关注可复用的方法而非单次修复。例如 FRP 故障的价值不仅在于恢复连接，还在于形成端到端链路排障流程；共享记忆改造的价值不仅在于减少智能体数量，还在于建立数据隔离与知识共享规则。将局部问题提炼为通用工程原则，是本次实习在技术沟通和系统思维方面的重要收获。</w:t>
      </w:r>
    </w:p>
    <w:p>
      <w:pPr>
        <w:pStyle w:val="ReportHeading1"/>
      </w:pPr>
      <w:r>
        <w:t>三、后续提升计划</w:t>
      </w:r>
    </w:p>
    <w:p>
      <w:pPr>
        <w:pStyle w:val="ReportHeading2"/>
      </w:pPr>
      <w:r>
        <w:t>3.1 智能体能力演进</w:t>
      </w:r>
    </w:p>
    <w:p>
      <w:pPr>
        <w:pStyle w:val="ReportHeading3"/>
      </w:pPr>
      <w:r>
        <w:t>3.1.1 规划、执行与反思机制</w:t>
      </w:r>
    </w:p>
    <w:p>
      <w:pPr>
        <w:pStyle w:val="ReportBody"/>
      </w:pPr>
      <w:r>
        <w:t>后续将为复杂任务引入更明确的 Plan—Execute—Reflect 机制。系统首先根据目标生成可检查的步骤计划，随后逐项调用工具并记录证据，最后对执行结果进行一致性检查和风险复核。对于跨度较长的故障处置，可设置阶段性检查点，由运维人员确认后继续执行。该机制能够降低模型在单次长上下文中遗漏约束或跳过关键验证步骤的概率。</w:t>
      </w:r>
    </w:p>
    <w:p>
      <w:pPr>
        <w:pStyle w:val="ReportBody"/>
      </w:pPr>
      <w:r>
        <w:t>同时，将完善技能版本和执行记录。每次技能运行应保存触发原因、使用版本、工具输入输出、失败位置和最终结论，使技能效果能够被统计和回放。对于高频故障，可依据历史运行结果优化步骤顺序和终止条件，但不得自动扩大工具权限。</w:t>
      </w:r>
    </w:p>
    <w:p>
      <w:pPr>
        <w:pStyle w:val="ReportHeading3"/>
      </w:pPr>
      <w:r>
        <w:t>3.1.2 知识治理与幻觉抑制</w:t>
      </w:r>
    </w:p>
    <w:p>
      <w:pPr>
        <w:pStyle w:val="ReportBody"/>
      </w:pPr>
      <w:r>
        <w:t>长期记忆将增加来源、适用系统、设备类型、有效时间、审核状态和替代关系等元数据，并建立过期检查与人工审核流程。制度类知识优先使用已确认版本，历史版本仅用于解释变更；经验类知识根据环境相似度和验证结果调整权重。检索结果进入模型前应展示来源标识，最终输出应能够回溯到工具事实或知识片段。</w:t>
      </w:r>
    </w:p>
    <w:p>
      <w:pPr>
        <w:pStyle w:val="ReportBody"/>
      </w:pPr>
      <w:r>
        <w:t>为进一步抑制幻觉，计划建立“无证据不下结论”的回答策略。当资产、监控或知识库没有足够信息时，系统应返回缺失项和建议补充方式，而不是生成表面完整的处置结论。对关键数值、设备状态和联系人信息进行程序化校验，降低语言模型改写过程中产生事实偏差的风险。</w:t>
      </w:r>
    </w:p>
    <w:p>
      <w:pPr>
        <w:pStyle w:val="ReportHeading2"/>
      </w:pPr>
      <w:r>
        <w:t>3.2 稳定性与性能优化</w:t>
      </w:r>
    </w:p>
    <w:p>
      <w:pPr>
        <w:pStyle w:val="ReportHeading3"/>
      </w:pPr>
      <w:r>
        <w:t>3.2.1 熔断、路由与容量管理</w:t>
      </w:r>
    </w:p>
    <w:p>
      <w:pPr>
        <w:pStyle w:val="ReportBody"/>
      </w:pPr>
      <w:r>
        <w:t>现有模型容错以分类重试和主备切换为主，后续将增加基于时间窗口的熔断与半开探测。当某一上游持续超时或限流时，系统短期停止向其发送新请求，并通过少量探测请求判断恢复状态，避免故障放大。模型路由将综合任务类型、上下文长度、视觉需求、时延目标、费用和当前健康度，而不是仅按固定顺序切换。</w:t>
      </w:r>
    </w:p>
    <w:p>
      <w:pPr>
        <w:pStyle w:val="ReportBody"/>
      </w:pPr>
      <w:r>
        <w:t>容量管理方面，将分别统计模型调用、附件解析、嵌入生成和数据库连接的资源消耗，建立队列长度、等待时间和拒绝率指标。根据任务优先级为应急告警、交互查询和后台反思设置不同资源配额，保证批量知识处理不会挤占实时故障处置能力。</w:t>
      </w:r>
    </w:p>
    <w:p>
      <w:pPr>
        <w:pStyle w:val="ReportHeading3"/>
      </w:pPr>
      <w:r>
        <w:t>3.2.2 附件处理与异步任务优化</w:t>
      </w:r>
    </w:p>
    <w:p>
      <w:pPr>
        <w:pStyle w:val="ReportBody"/>
      </w:pPr>
      <w:r>
        <w:t>附件处理将进一步拆分为上传、校验、提取、视觉分析、索引和清理等独立阶段，每个阶段记录可恢复状态。对于重复上传的相同文件，可基于内容摘要复用安全校验和解析结果；对于大型表格和长文档，采用分页、分块与增量摘要，减少单次内存占用。视觉解析服务应补充环境依赖自检，并建立跨系统一致的渲染基线，以解决当前 PDF 页面渲染测试不稳定的问题。</w:t>
      </w:r>
    </w:p>
    <w:p>
      <w:pPr>
        <w:pStyle w:val="ReportBody"/>
      </w:pPr>
      <w:r>
        <w:t>异步任务将引入更明确的超时、取消和死信处理机制。用户取消只阻止尚未发生的后续步骤，已经完成的外部动作必须保留审计记录；无法自动恢复的任务进入人工检查队列，避免长期停留在运行状态。</w:t>
      </w:r>
    </w:p>
    <w:p>
      <w:pPr>
        <w:pStyle w:val="ReportHeading2"/>
      </w:pPr>
      <w:r>
        <w:t>3.3 评估与可观测性建设</w:t>
      </w:r>
    </w:p>
    <w:p>
      <w:pPr>
        <w:pStyle w:val="ReportHeading3"/>
      </w:pPr>
      <w:r>
        <w:t>3.3.1 端到端追踪体系</w:t>
      </w:r>
    </w:p>
    <w:p>
      <w:pPr>
        <w:pStyle w:val="ReportBody"/>
      </w:pPr>
      <w:r>
        <w:t>后续将以 trace_id 贯通用户请求、会话、Turn、模型调用、检索片段、工具执行、附件阶段和邮件通知，形成完整时序视图。在现有模型时延、Token 与成本记录基础上，增加工具成功率、检索命中率、锁等待时间、任务恢复次数、告警合并率和通知送达状态等指标。关键日志采用结构化字段并进行敏感信息脱敏，便于检索、统计和审计。</w:t>
      </w:r>
    </w:p>
    <w:p>
      <w:pPr>
        <w:pStyle w:val="ReportBody"/>
      </w:pPr>
      <w:r>
        <w:t>端到端追踪不仅用于故障定位，也用于回答“结果为何产生”。对于诊断结论，应能够查看使用了哪些监控事实、召回了哪些历史经验、调用了哪些工具以及何时执行外部通知，从而提升智能体行为的可解释性与责任可追溯性。</w:t>
      </w:r>
    </w:p>
    <w:p>
      <w:pPr>
        <w:pStyle w:val="ReportHeading3"/>
      </w:pPr>
      <w:r>
        <w:t>3.3.2 场景化评估体系</w:t>
      </w:r>
    </w:p>
    <w:p>
      <w:pPr>
        <w:pStyle w:val="ReportBody"/>
      </w:pPr>
      <w:r>
        <w:t>计划建立覆盖日常查询、附件理解、故障诊断、权限越界、提示注入、模型故障和网络中断的评估集。评估指标除答案相关性外，还包括事实准确率、工具选择正确率、引用完整性、无依据结论比例、恢复成功率、重复副作用次数、平均处置时延和人工接管率。通过固定样本回归和线上匿名指标，持续判断模型、提示词、技能或检索策略变更是否真正改善系统。</w:t>
      </w:r>
    </w:p>
    <w:p>
      <w:pPr>
        <w:pStyle w:val="ReportBody"/>
      </w:pPr>
      <w:r>
        <w:t>对于7×24主动运维场景，将使用模拟心跳丢失、指标突增、批量异常、模型不可用和邮件失败等事件验证闭环。评估需覆盖正常触发、重复抑制、冷却合并、降级告警与恢复记录，确保主动能力在依赖异常时仍保持基本可用。</w:t>
      </w:r>
    </w:p>
    <w:p>
      <w:pPr>
        <w:pStyle w:val="ReportHeading2"/>
      </w:pPr>
      <w:r>
        <w:t>3.4 安全与数据治理</w:t>
      </w:r>
    </w:p>
    <w:p>
      <w:pPr>
        <w:pStyle w:val="ReportHeading3"/>
      </w:pPr>
      <w:r>
        <w:t>3.4.1 提示注入纵深防护</w:t>
      </w:r>
    </w:p>
    <w:p>
      <w:pPr>
        <w:pStyle w:val="ReportBody"/>
      </w:pPr>
      <w:r>
        <w:t>提示注入治理将从单一文本规则转向纵深防护。系统区分系统指令、用户输入、外部网页、附件内容和检索知识的信任等级，对低信任内容进行边界标记并禁止其修改权限策略。工具继续采用最小权限和严格参数模式，高风险工具默认不向普通会话暴露；模型提出的动作由后端策略引擎重新验证，不能依赖模型自我声明“已获得授权”。</w:t>
      </w:r>
    </w:p>
    <w:p>
      <w:pPr>
        <w:pStyle w:val="ReportBody"/>
      </w:pPr>
      <w:r>
        <w:t>同时建立覆盖直接注入、间接注入、编码混淆、跨语言指令和数据外泄诱导的测试集，对输入检测、上下文隔离、工具授权和输出审查分别评估。任何新规则均需同时验证攻击拦截率与正常业务误报率，达到稳定标准后方可进入生产链路。</w:t>
      </w:r>
    </w:p>
    <w:p>
      <w:pPr>
        <w:pStyle w:val="ReportHeading3"/>
      </w:pPr>
      <w:r>
        <w:t>3.4.2 高风险动作治理</w:t>
      </w:r>
    </w:p>
    <w:p>
      <w:pPr>
        <w:pStyle w:val="ReportBody"/>
      </w:pPr>
      <w:r>
        <w:t>未来若扩展配置变更、工单流转或自动处置能力，将为每类动作定义风险等级、审批主体、可执行时间、影响范围和回滚方案。高风险动作采用双人复核或人工确认，审批信息与具体参数绑定并设置短期有效期，防止授权被复用于不同对象。执行前完成前置条件检查，执行后验证目标状态并生成不可抵赖的审计记录。</w:t>
      </w:r>
    </w:p>
    <w:p>
      <w:pPr>
        <w:pStyle w:val="ReportBody"/>
      </w:pPr>
      <w:r>
        <w:t>数据治理方面，将进一步落实字段级脱敏、密钥集中管理、数据保留周期和删除流程。共享记忆的写入、修改、审核和召回应记录责任主体；包含敏感信息的附件和日志设置更严格的访问范围与生命周期，避免数字员工在提高信息利用效率的同时扩大数据暴露面。</w:t>
      </w:r>
    </w:p>
    <w:p>
      <w:pPr>
        <w:pStyle w:val="ReportHeading2"/>
      </w:pPr>
      <w:r>
        <w:t>3.5 生产化部署与业务接入</w:t>
      </w:r>
    </w:p>
    <w:p>
      <w:pPr>
        <w:pStyle w:val="ReportHeading3"/>
      </w:pPr>
      <w:r>
        <w:t>3.5.1 基础设施生产化</w:t>
      </w:r>
    </w:p>
    <w:p>
      <w:pPr>
        <w:pStyle w:val="ReportBody"/>
      </w:pPr>
      <w:r>
        <w:t>生产部署阶段计划接入统一身份认证和组织权限体系，使用专用密钥管理服务替代本地静态密钥，并对应用、数据库、Redis、模型网关和嵌入服务划分网络区域。服务间通信启用加密与身份校验，数据库执行备份、恢复演练和容量规划；关键组件采用健康检查、故障转移和滚动升级策略，明确恢复时间目标与恢复点目标。</w:t>
      </w:r>
    </w:p>
    <w:p>
      <w:pPr>
        <w:pStyle w:val="ReportBody"/>
      </w:pPr>
      <w:r>
        <w:t>部署流程将增加镜像安全扫描、配置校验、数据库迁移检查和灰度发布。开发、测试与生产环境使用独立账户和数据，禁止以真实凭证进入测试链路。通过基础设施即代码和标准化运行手册，降低人工部署差异并提升故障恢复效率。</w:t>
      </w:r>
    </w:p>
    <w:p>
      <w:pPr>
        <w:pStyle w:val="ReportHeading3"/>
      </w:pPr>
      <w:r>
        <w:t>3.5.2 真实运维体系接入</w:t>
      </w:r>
    </w:p>
    <w:p>
      <w:pPr>
        <w:pStyle w:val="ReportBody"/>
      </w:pPr>
      <w:r>
        <w:t>项目后续将与真实监控平台、配置管理数据库、工单系统和通知渠道对接，使设备状态、资产关系和事件处置能够形成一致数据链。主动监控不再依赖示例状态更新，而是消费经过授权的监控事件；诊断结果可生成待确认工单，由人员审核后进入处置流程；恢复信息回写事件记录，并用于评估建议有效性。</w:t>
      </w:r>
    </w:p>
    <w:p>
      <w:pPr>
        <w:pStyle w:val="ReportBody"/>
      </w:pPr>
      <w:r>
        <w:t>业务接入坚持分阶段推进：首先开放只读查询和辅助分析，其次接入受控通知与工单创建，最后在充分评估和审批机制成熟后探索低风险自动处置。通过逐级扩大能力范围，使7×24数字员工在保持安全、可靠和可追溯的前提下，从实习项目原型逐步演进为可服务实际运维工作的智能协作系统。</w:t>
      </w:r>
    </w:p>
    <w:p>
      <w:pPr>
        <w:pStyle w:val="ReportHeading2"/>
      </w:pPr>
      <w:r>
        <w:t>参考资料</w:t>
      </w:r>
    </w:p>
    <w:p>
      <w:pPr>
        <w:pStyle w:val="ReportReference"/>
      </w:pPr>
      <w:r>
        <w:t>[1] OpenAI. A Practical Guide to Building Agents. https://openai.com/business/guides-and-resources/a-practical-guide-to-building-ai-agents/</w:t>
      </w:r>
    </w:p>
    <w:p>
      <w:pPr>
        <w:pStyle w:val="ReportReference"/>
      </w:pPr>
      <w:r>
        <w:t>[2] Anthropic. Building Effective Agents. https://www.anthropic.com/research/building-effective-agents</w:t>
      </w:r>
    </w:p>
    <w:p>
      <w:pPr>
        <w:pStyle w:val="ReportReference"/>
      </w:pPr>
      <w:r>
        <w:t>[3] Anthropic. Building Effective AI Agents. https://www.anthropic.com/engineering/building-effective-agents</w:t>
      </w:r>
    </w:p>
    <w:p>
      <w:pPr>
        <w:pStyle w:val="ReportReference"/>
      </w:pPr>
      <w:r>
        <w:t>[4] Letta Documentation. Memory Blocks. https://docs.letta.com/guides/agents/memory-blocks</w:t>
      </w:r>
    </w:p>
    <w:p>
      <w:pPr>
        <w:pStyle w:val="ReportReference"/>
      </w:pPr>
      <w:r>
        <w:t>[5] OWASP. AI Agent Security Cheat Sheet. https://cheatsheetseries.owasp.org/cheatsheets/AI_Agent_Security_Cheat_Sheet.html</w:t>
      </w:r>
    </w:p>
    <w:p>
      <w:pPr>
        <w:pStyle w:val="ReportReference"/>
      </w:pPr>
      <w:r>
        <w:t>[6] Chen J. et al. BGE M3-Embedding: Multi-Lingual, Multi-Functionality, Multi-Granularity Text Embeddings Through Self-Knowledge Distillation. arXiv:2402.03216.</w:t>
      </w:r>
    </w:p>
    <w:p>
      <w:pPr>
        <w:pStyle w:val="ReportReference"/>
      </w:pPr>
      <w:r>
        <w:t>[7] pgvector. Open-source vector similarity search for Postgres. https://github.com/pgvector/pgvector</w:t>
      </w:r>
    </w:p>
    <w:p>
      <w:pPr>
        <w:pStyle w:val="ReportReference"/>
      </w:pPr>
      <w:r>
        <w:t>[8] Langfuse Documentation. LLM Observability and Tracing. https://langfuse.com/docs</w:t>
      </w:r>
    </w:p>
    <w:p>
      <w:pPr>
        <w:pStyle w:val="ReportBody"/>
      </w:pPr>
      <w:r>
        <w:t/>
      </w:r>
    </w:p>
    <w:p>
      <w:pPr>
        <w:pStyle w:val="ReportSignature"/>
      </w:pPr>
      <w:r>
        <w:t>实习生（签名）：　　　　　　　　　　　　　　　日期：</w:t>
      </w:r>
    </w:p>
    <w:p>
      <w:pPr>
        <w:pStyle w:val="ReportSignature"/>
      </w:pPr>
      <w:r>
        <w:t/>
      </w:r>
    </w:p>
    <w:p>
      <w:pPr>
        <w:pStyle w:val="ReportSignature"/>
      </w:pPr>
      <w:r>
        <w:t/>
      </w:r>
    </w:p>
    <w:p>
      <w:pPr>
        <w:pStyle w:val="ReportSignature"/>
      </w:pPr>
      <w:r>
        <w:t>实习导师（签名）：　　　　　　　　　　　　　　日期：</w:t>
      </w:r>
    </w:p>
    <w:sectPr>
      <w:footerReference w:type="default" r:id="rIdReportFoote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黑体_GBK">
    <w:panose1 w:val="02000000000000000000"/>
    <w:charset w:val="86"/>
    <w:family w:val="auto"/>
    <w:pitch w:val="default"/>
    <w:sig w:usb0="00000001" w:usb1="08000000" w:usb2="00000000" w:usb3="00000000" w:csb0="00040000" w:csb1="00000000"/>
  </w:font>
  <w:font w:name="仿宋">
    <w:altName w:val="宋体"/>
    <w:panose1 w:val="02010609060101010101"/>
    <w:charset w:val="86"/>
    <w:family w:val="modern"/>
    <w:pitch w:val="default"/>
    <w:sig w:usb0="00000000" w:usb1="00000000" w:usb2="00000016" w:usb3="00000000" w:csb0="00040001" w:csb1="00000000"/>
  </w:font>
</w:fonts>
</file>

<file path=word/footer1.xml><?xml version="1.0" encoding="utf-8"?>
<w:ftr xmlns:w="http://schemas.openxmlformats.org/wordprocessingml/2006/main">
  <w:p>
    <w:pPr>
      <w:jc w:val="center"/>
    </w:pPr>
    <w:r>
      <w:rPr>
        <w:rFonts w:ascii="Times New Roman" w:hAnsi="Times New Roman" w:eastAsia="宋体"/>
        <w:sz w:val="18"/>
        <w:szCs w:val="18"/>
      </w:rPr>
      <w:t>— </w:t>
    </w:r>
    <w:r>
      <w:fldChar w:fldCharType="begin"/>
    </w:r>
    <w:r>
      <w:instrText xml:space="preserve"> PAGE </w:instrText>
    </w:r>
    <w:r>
      <w:fldChar w:fldCharType="separate"/>
    </w:r>
    <w:r>
      <w:t>1</w:t>
    </w:r>
    <w:r>
      <w:fldChar w:fldCharType="end"/>
    </w:r>
    <w:r>
      <w:rPr>
        <w:rFonts w:ascii="Times New Roman" w:hAnsi="Times New Roman" w:eastAsia="宋体"/>
        <w:sz w:val="18"/>
        <w:szCs w:val="1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A90"/>
    <w:rsid w:val="001B7405"/>
    <w:rsid w:val="00252A90"/>
    <w:rsid w:val="00857FE9"/>
    <w:rsid w:val="54C490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ReportTitle">
    <w:name w:val="Report Title"/>
    <w:basedOn w:val="Normal"/>
    <w:next w:val="ReportMeta"/>
    <w:pPr>
      <w:keepNext/>
      <w:spacing w:after="360"/>
      <w:jc w:val="center"/>
    </w:pPr>
    <w:rPr>
      <w:rFonts w:ascii="Times New Roman" w:hAnsi="Times New Roman" w:eastAsia="黑体"/>
      <w:b/>
      <w:sz w:val="44"/>
      <w:szCs w:val="44"/>
      <w:color w:val="000000"/>
    </w:rPr>
  </w:style>
  <w:style w:type="paragraph" w:styleId="ReportMeta">
    <w:name w:val="Report Meta"/>
    <w:basedOn w:val="Normal"/>
    <w:next w:val="ReportHeading1"/>
    <w:pPr>
      <w:spacing w:after="360" w:line="360" w:lineRule="auto"/>
      <w:jc w:val="center"/>
    </w:pPr>
    <w:rPr>
      <w:rFonts w:ascii="Times New Roman" w:hAnsi="Times New Roman" w:eastAsia="仿宋_GB2312"/>
      <w:sz w:val="30"/>
      <w:szCs w:val="30"/>
      <w:color w:val="000000"/>
    </w:rPr>
  </w:style>
  <w:style w:type="paragraph" w:styleId="ReportHeading1">
    <w:name w:val="Report Heading 1"/>
    <w:basedOn w:val="Normal"/>
    <w:next w:val="ReportHeading2"/>
    <w:pPr>
      <w:keepNext/>
      <w:keepLines/>
      <w:spacing w:before="240" w:after="120" w:line="360" w:lineRule="auto"/>
      <w:outlineLvl w:val="0"/>
    </w:pPr>
    <w:rPr>
      <w:rFonts w:ascii="Times New Roman" w:hAnsi="Times New Roman" w:eastAsia="仿宋_GB2312"/>
      <w:b/>
      <w:sz w:val="30"/>
      <w:szCs w:val="30"/>
      <w:color w:val="000000"/>
    </w:rPr>
  </w:style>
  <w:style w:type="paragraph" w:styleId="ReportHeading2">
    <w:name w:val="Report Heading 2"/>
    <w:basedOn w:val="Normal"/>
    <w:next w:val="ReportHeading3"/>
    <w:pPr>
      <w:keepNext/>
      <w:keepLines/>
      <w:spacing w:before="200" w:after="80" w:line="360" w:lineRule="auto"/>
      <w:outlineLvl w:val="1"/>
    </w:pPr>
    <w:rPr>
      <w:rFonts w:ascii="Times New Roman" w:hAnsi="Times New Roman" w:eastAsia="黑体"/>
      <w:b/>
      <w:sz w:val="27"/>
      <w:szCs w:val="27"/>
      <w:color w:val="000000"/>
    </w:rPr>
  </w:style>
  <w:style w:type="paragraph" w:styleId="ReportHeading3">
    <w:name w:val="Report Heading 3"/>
    <w:basedOn w:val="Normal"/>
    <w:next w:val="ReportBody"/>
    <w:pPr>
      <w:keepNext/>
      <w:keepLines/>
      <w:spacing w:before="140" w:after="40" w:line="360" w:lineRule="auto"/>
      <w:outlineLvl w:val="2"/>
    </w:pPr>
    <w:rPr>
      <w:rFonts w:ascii="Times New Roman" w:hAnsi="Times New Roman" w:eastAsia="楷体_GB2312"/>
      <w:b/>
      <w:sz w:val="24"/>
      <w:szCs w:val="24"/>
      <w:color w:val="000000"/>
    </w:rPr>
  </w:style>
  <w:style w:type="paragraph" w:styleId="ReportBody">
    <w:name w:val="Report Body"/>
    <w:basedOn w:val="Normal"/>
    <w:next w:val="ReportBody"/>
    <w:pPr>
      <w:widowControl/>
      <w:spacing w:after="60" w:line="360" w:lineRule="auto"/>
      <w:ind w:firstLine="420"/>
      <w:jc w:val="both"/>
    </w:pPr>
    <w:rPr>
      <w:rFonts w:ascii="Times New Roman" w:hAnsi="Times New Roman" w:eastAsia="宋体"/>
      <w:sz w:val="24"/>
      <w:szCs w:val="24"/>
      <w:color w:val="000000"/>
    </w:rPr>
  </w:style>
  <w:style w:type="paragraph" w:styleId="ReportReference">
    <w:name w:val="Report Reference"/>
    <w:basedOn w:val="Normal"/>
    <w:next w:val="ReportReference"/>
    <w:pPr>
      <w:spacing w:after="40" w:line="260" w:lineRule="auto"/>
      <w:ind w:left="420" w:hanging="420"/>
    </w:pPr>
    <w:rPr>
      <w:rFonts w:ascii="Times New Roman" w:hAnsi="Times New Roman" w:eastAsia="宋体"/>
      <w:sz w:val="21"/>
      <w:szCs w:val="21"/>
      <w:color w:val="000000"/>
    </w:rPr>
  </w:style>
  <w:style w:type="paragraph" w:styleId="ReportSignature">
    <w:name w:val="Report Signature"/>
    <w:basedOn w:val="Normal"/>
    <w:next w:val="ReportSignature"/>
    <w:pPr>
      <w:spacing w:line="360" w:lineRule="auto"/>
    </w:pPr>
    <w:rPr>
      <w:rFonts w:ascii="Times New Roman" w:hAnsi="Times New Roman" w:eastAsia="仿宋_GB2312"/>
      <w:sz w:val="24"/>
      <w:szCs w:val="24"/>
      <w:color w:val="00000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ReportFooter"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BOC</Company>
  <Pages>1</Pages>
  <Words>29</Words>
  <Characters>171</Characters>
  <Lines>1</Lines>
  <Paragraphs>1</Paragraphs>
  <TotalTime>5</TotalTime>
  <ScaleCrop>false</ScaleCrop>
  <LinksUpToDate>false</LinksUpToDate>
  <CharactersWithSpaces>199</CharactersWithSpaces>
  <Application>WPS Office_11.8.2.11806_F1E327BC-269C-435d-A152-05C5408002CA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2020-08-24T14:52:00Z</dcterms:created>
  <dc:creator>朱珊</dc:creator>
  <cp:lastModifiedBy>1535369</cp:lastModifiedBy>
  <dcterms:modified xsi:type="dcterms:W3CDTF">2024-08-21T15:44:50Z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2052-11.8.2.11806</vt:lpwstr>
  </property>
  <property fmtid="{D5CDD505-2E9C-101B-9397-08002B2CF9AE}" pid="3" name="ICV">
    <vt:lpwstr>C9155B13E8AA4615F29AC56644F0503F</vt:lpwstr>
  </property>
</Properties>
</file>