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(candidate) referenced by many Lessons — see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(new, proposed — see Section 12.2)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candidate resolution for the undefined mobile videoScreen (Section 12.2), not yet confirmed scope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(proposed, candidate)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candidate resolution for the undefined mobile videoScreen/VIDEO nav tab (Section 12.2) — not yet confirmed scope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so it introduces no new money-transmission exposure beyond what Section 10.4's Stripe Connect model already covers.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so it introduces no new money-transmission exposure beyond what Section 10.4's Stripe Connect model already covers.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resolves the money-transmission exposure on Franchise-fee collection (Section 10.2, reuses the already-covered Stripe Connect marketplace pattern), but not the separate question of what a Franchisor may lawfully collect from a franchisee School under the FTC Franchise Rule and equivalent state/international disclosure laws — flagged in Section 8.2 since Pass 2, still needs real legal review before this ships to any market.</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videoScreen, dealsDeals, summaryAndCart, and the map/search-filter screens exist but carry little to no field-level detail in the designs, so their data models are effectively undefined.</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Candidate resolution for videoScreen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 confirmed decision, but worth weighing before this is designed from scratch: the working grading-system prototype (Section 2.3) validates a Lesson entity — short instructional videos, each tagged with the specific skill they teach — that surfaces automatically wherever that skill already appears (skill library, a student's profile, the grading flow itself) rather than living in a separate video library a student browses on its own. Offered as a plausible answer to what videoScreen and the mobile app's inconsistent VIDEO nav tab were meant to be — see Section 6.1's Lesson entity and Section 7's proposed CurriculumModule.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