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(candidate) referenced by many Lessons — see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(new, proposed — see Section 12.2)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candidate resolution for the undefined mobile videoScreen (Section 12.2), not yet confirmed scope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(proposed, candidate)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candidate resolution for the undefined mobile videoScreen/VIDEO nav tab (Section 12.2) — not yet confirmed scope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so it introduces no new money-transmission exposure beyond what Section 10.4's Stripe Connect model already covers.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so it introduces no new money-transmission exposure beyond what Section 10.4's Stripe Connect model already covers.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resolves the money-transmission exposure on Franchise-fee collection (Section 10.2, reuses the already-covered Stripe Connect marketplace pattern), but not the separate question of what a Franchisor may lawfully collect from a franchisee School under the FTC Franchise Rule and equivalent state/international disclosure laws — flagged in Section 8.2 since Pass 2, still needs real legal review before this ships to any market.</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videoScreen, dealsDeals, summaryAndCart, and the map/search-filter screens exist but carry little to no field-level detail in the designs, so their data models are effectively undefined.</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Candidate resolution for videoScreen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 a confirmed decision, but worth weighing before this is designed from scratch: the working grading-system prototype (Section 2.3) validates a Lesson entity — short instructional videos, each tagged with the specific skill they teach — that surfaces automatically wherever that skill already appears (skill library, a student's profile, the grading flow itself) rather than living in a separate video library a student browses on its own. Offered as a plausible answer to what videoScreen and the mobile app's inconsistent VIDEO nav tab were meant to be — see Section 6.1's Lesson entity and Section 7's proposed CurriculumModule.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