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(16 jobs total — see Section 9; updated 25 Aug 2026, Pass 4, to add the new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 — same enum as Transaction), refundedAmount (nullable, cumulative — added 25 Aug 2026, Pass 4, same as Transaction, Section 6.1)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languages observed: English (UK), Portuguese (BR), Spanish, Arabic, Urdu.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PKR.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Pakistan doesn't guarantee sender-ID branding,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16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PKR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Pakistan doesn't guarantee sender-ID branding,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UK/EU/Brazil/UAE/Pakistan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16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Pakistan doesn't guarantee sender-ID branding,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Pakistan,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stub (added 26 Aug 2026, Pass 8): three first-response notes for the riskiest failure modes this pass surfaced, pending the fuller on-call documentation a live team will need. Stuck Stripe-webhook queue: check Bull Board's stripe-webhook-processing queue depth and oldest-waiting-job age first (Section 11.6) — a backlog here means Memberships aren't activating on payment_intent.succeeded even though Stripe already has the money. RLS CI-gate failure (Section 4.8): treat as a release-blocking signal, never override — it exists specifically to catch a cross-tenant leak before it ships, and a passing build with this check red should be impossible under the branch-protection rule (Section 11.6). Credential-purge job failure (Section 9): check whether it's a same-day-re-upgrade case the transactional guard (Decision 27, Section 12.1) is correctly skipping versus a genuine job error — the two look similar in a shallow log scan but require opposite responses.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