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account deletion processing (17 jobs total — see Section 9; updated Pass 8 to add the new account-deletion-processing job, Decision 44; previously updated 25 Aug 2026, Pass 4, to add the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(Successful/Pending/Failed/Refunded/Disputed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Disputed added Pass 8, Decision 55, only reachable for Stripe-paid Transactions since Cash/Bank Transfer rows have no Stripe charge id to match), disputedAmount (nullable, taken straight from the Stripe dispute event payload — added Pass 8, Decision 55),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 subjectUserId (nullable — populated whenever the target entity is itself owned by or references one Student/Guardian/Instructor record, left null for tenant-wide actions with no single subject; added Pass 8, Decision 43)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(Successful/Pending/Failed/Refunded/Disputed — same enum as Transaction, Disputed added Pass 8, Decision 55), refundedAmount (nullable, cumulative — added 25 Aug 2026, Pass 4, same as Transaction, Section 6.1), disputedAmount (nullable, taken straight from the Stripe dispute event payload — added Pass 8, Decision 55, same as Transaction)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C">
            <w:pPr>
              <w:rPr/>
            </w:pPr>
            <w:r>
              <w:rPr>
                <w:sz w:val="19"/>
                <w:szCs w:val="19"/>
                <w:rtl w:val="0"/>
              </w:rPr>
              <w:t xml:space="preserve">PlatformCharge (new — Section 10.2, Decision 42)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D">
            <w:pPr>
              <w:rPr/>
            </w:pPr>
            <w:r>
              <w:rPr>
                <w:sz w:val="19"/>
                <w:szCs w:val="19"/>
                <w:rtl w:val="0"/>
              </w:rPr>
              <w:t xml:space="preserve">School/Franchise reference, charge type (SubscriptionPlan tier fee or whiteLabelApp entitlement fee), amount, currency, Stripe charge/invoice reference, status (Successful/Pending/Failed/Refunded/Disputed — same enum as Transaction and FranchiseFeeCharge, Decision 55), disputedAmount (nullable, cumulative — Decision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E">
            <w:pPr>
              <w:rPr/>
            </w:pPr>
            <w:r>
              <w:rPr>
                <w:sz w:val="19"/>
                <w:szCs w:val="19"/>
                <w:rtl w:val="0"/>
              </w:rPr>
              <w:t xml:space="preserve">Belongs to whichever School or Franchise the platform-level charge is against; mirrors FranchiseFeeCharge's shape but bills ULTM8's own platform-level fees (SubscriptionPlan tier, white-label app entitlement) rather than School↔Franchise fees (Decision 42). See Section 10.2, Section 12.1 Decision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F">
            <w:pPr>
              <w:rPr/>
            </w:pPr>
            <w:r>
              <w:rPr>
                <w:sz w:val="19"/>
                <w:szCs w:val="19"/>
                <w:rtl w:val="0"/>
              </w:rPr>
              <w:t xml:space="preserve">DeviceToken (new — Section 12.1 Decision 46)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0">
            <w:pPr>
              <w:rPr/>
            </w:pPr>
            <w:r>
              <w:rPr>
                <w:sz w:val="19"/>
                <w:szCs w:val="19"/>
                <w:rtl w:val="0"/>
              </w:rPr>
              <w:t xml:space="preserve">userId, platform, token, app variant reference (shared Student app or a specific School's TenantAppConfig), last-seen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1">
            <w:pPr>
              <w:rPr/>
            </w:pPr>
            <w:r>
              <w:rPr>
                <w:sz w:val="19"/>
                <w:szCs w:val="19"/>
                <w:rtl w:val="0"/>
              </w:rPr>
              <w:t xml:space="preserve">Belongs to User; referenced by push-notification delivery to route a push to the correct credential set — the shared Student app's or a specific School's white-label app's — since nothing else in this model previously distinguished them (Decision 46). See Section 12.1 Decision 46.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2">
            <w:pPr>
              <w:rPr/>
            </w:pPr>
            <w:r>
              <w:rPr>
                <w:sz w:val="19"/>
                <w:szCs w:val="19"/>
                <w:rtl w:val="0"/>
              </w:rPr>
              <w:t xml:space="preserve">ConsentRecord (new — Section 12.1 Decision 57)</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3">
            <w:pPr>
              <w:rPr/>
            </w:pPr>
            <w:r>
              <w:rPr>
                <w:sz w:val="19"/>
                <w:szCs w:val="19"/>
                <w:rtl w:val="0"/>
              </w:rPr>
              <w:t xml:space="preserve">Guardian reference, linked-minor (Student) reference, policyVersion, timestamp, status (Active/Withdrawn, with its own withdrawal timestamp), tier (baseline or camera-specific)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4">
            <w:pPr>
              <w:rPr/>
            </w:pPr>
            <w:r>
              <w:rPr>
                <w:sz w:val="19"/>
                <w:szCs w:val="19"/>
                <w:rtl w:val="0"/>
              </w:rPr>
              <w:t xml:space="preserve">Belongs to Guardian and the linked Student; the operative authorization for a Guardian's consent on a minor's behalf, tier-scoped so camera-specific consent can be withdrawn independently of baseline consent (Decision 57). See Section 12.1 Decision 57.</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 DELETE /users/me (self-service account deletion, requires re-authentication — added Pass 8, Decision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 — generalized Pass 8, Decision 40, to also run for any School with an active whiteLabelApp entitlement, independent of Franchise.feeModel, reporting active-student usage on the same T-1-day fixed-offset schedule for that PlatformCharge case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5">
            <w:pPr>
              <w:rPr/>
            </w:pPr>
            <w:r>
              <w:rPr>
                <w:sz w:val="19"/>
                <w:szCs w:val="19"/>
                <w:rtl w:val="0"/>
              </w:rPr>
              <w:t xml:space="preserve">account-deletion-processing (new — Section 12.1 Decision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6">
            <w:pPr>
              <w:rPr/>
            </w:pPr>
            <w:r>
              <w:rPr>
                <w:sz w:val="19"/>
                <w:szCs w:val="19"/>
                <w:rtl w:val="0"/>
              </w:rPr>
              <w:t xml:space="preserve">Enqueued by DELETE /users/me (Section 7) after re-authentication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7">
            <w:pPr>
              <w:rPr/>
            </w:pPr>
            <w:r>
              <w:rPr>
                <w:sz w:val="19"/>
                <w:szCs w:val="19"/>
                <w:rtl w:val="0"/>
              </w:rPr>
              <w:t xml:space="preserve">No screen surfaces this directly — it's a backend cascade job, not a UI flow: WaiverSignature/StudentRank/Notification rows referencing the account are hard-deleted, while Booking/Transaction/Membership rows are anonymized (personal fields nulled, foreign key retained) rather than deleted outright, since a School's own financial and attendance records can't simply disappear out from under it; AuditLogEntry rows are retained, with Decision 43's subjectUserId left to go null on the deleted user's own prior entries. The retention window before this job runs, and any jurisdiction-specific variation, is the still-open Section 12.2 legal-review item — only the technical deletion/cascade mechanism is resolved here (Decision 44).</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languages observed: English (UK), Portuguese (BR), Spanish, Arabic.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MYR.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17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MYR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UK/EU/Brazil/UAE/Malaysia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17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POST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2F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Minimum-supported-client-version policy defined (Decision 60):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policy existed for how long an old mobile-app build stays compatible with the API — a real gap given the white-label architecture: every core release fans out into N per-School branded rebuilds (Section 5.4), each triggered on that School's own schedule, not ULTM8's, so the API can accumulate a long, unpredictable tail of in-the-wild client builds it never controlled the update timing for. One mechanism covers both distributions — the shared ULTM8 app and every branded rebuild are the same codebase, parameterized per tenant (Section 5.4), not a fork — so there's a single system-wide floor, not two separate policies; what differs is only how long each side's tail of old builds practically runs, short on the shared app since ULTM8 controls its own release and adoption cadence end-to-end, long on the branded side since each School controls its own rebuild. Scoped to the two mobile distributions only: the School Portal and Platform Admin are both browser-served with no per-tenant build fan-out, so every visit loads whatever's currently deployed — there's no stale-build-stuck-on-a-device problem for either, and this decision doesn't extend to them. The default posture is additive-only API evolution — new optional fields, new endpoints, deprecate rather than remove — so an old build keeps working indefinitely under normal change, the same reasoning this document already applies elsewhere when a cheaper default beats an expensive enforcement mechanism (Decision 18's advisory-not-blocking CodeQL gate, for the same small-team-can't-sustain-the-hard-version reason). The version-gate exists only for the rare case additive evolution can't cover — a required auth-flow change, a field a screen depends on being removed. Mechanism: every request carries an exact build number (X-App-Build, precise per-tenant rebuild, not a loose semver); the API tracks a single minSupportedBuild floor that only ever ratchets upward, never multiple historical per-change thresholds. Below it, a request is rejected with a structured body (CLIENT_UPDATE_REQUIRED, minRequiredBuild) rather than a bare status code, so the app can reliably render a forced-update screen instead of a generic error; the one hard exception is the version-check/config endpoint itself, which is never gated, so a fully-blocked client can still learn it needs to update. Below a second, lower deprecated-below value, the request still succeeds but carries a header the app renders as a non-blocking in-app update banner. A minSupportedBuild bump can only take effect after the corresponding deprecated-below banner has already been live for a minimum 30-day lead time — a judgment call, not a figure derived from anything already in this document (the closest existing precedent, Section 5.5's 90-day post-downgrade credential-retention window, governs a different concern, secret retention, not client compatibility, so its number isn't reused here, only its long-enough/short-enough shape of reasoning). That lead time carries real weight because of the other simplification this decision makes: per-endpoint version gating (letting only the specific changed operation block old clients) was considered and rejected as more machinery than a REST API with no existing versioning scheme needs right now — which means a bump blocks the entire app, not one screen, so the notice window is what keeps a global block from landing as a surprise. Accepted, not solved by this policy: a genuine security-driven break won't have the luxury of a 30-day notice window — that's an explicit, documented override path, not a case the standard policy claims to handle gracefully. Full detail in Section 4, Section 5.4.</w:t>
      </w:r>
    </w:p>
    <w:p w:rsidR="00000000" w:rsidDel="00000000" w:rsidP="00000000" w:rsidRDefault="00000000" w:rsidRPr="00000000" w14:paraId="0002F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App-level biometric/PIN re-lock added, mobile only (Decision 61):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specified login-time authentication and Owner-tier step-up MFA for specific sensitive actions (Decision 12) but nothing re-gates the app itself once a session is live — a real gap given what a logged-in session holds: saved payment methods, and now a Guardian's linked-minor profile and consent state (Decision 57). A device left unlocked exposes all of it with no further check. Added: an app-level re-lock, independent of the JWT/refresh-token session underneath — it gates the UI and, more concretely, the stored refresh token itself, not the session's validity. Mechanism: biometric (Face ID/Touch ID, Android biometric prompt) as the primary check, the device's own PIN/passcode as the automatic fallback — deliberately not a new ULTM8-specific PIN, since the app already treats a 6-digit Passcode as the actual account credential (Section 5.3) and a second app-specific PIN of similar shape would be genuinely confusable with it. This isn't only a UI overlay: mobile tokens already live in the OS keychain/keystore, not app storage (Section 4.4), and both platforms support binding a keychain/keystore entry's access to the device's own biometric/PIN unlock directly — so the check gates the token's retrieval at the OS level, not just what the app chooses to render, a real security boundary rather than app code that could have a bug or a bypass. Trigger: a fresh check on every return from backgrounding, not a timed grace window — the specific platform API achieving that is a build-time choice between each OS's caching/re-prompt options, not pinned down here; a few seconds of debounce for trivial app-switching (copying a verification code and back) is a legitimate UX allowance, but a tolerance for interruption, not a security concession, and not the same thing as a real grace window. One uniform threshold applies to every role rather than a second, stricter tier for Owner/Manager and Franchise Owner — a tempting-looking split, but rejected: the specific risk that tier would exist to cover (payout/bank-detail changes, refunds) is already gated by Decision 12's step-up MFA regardless of how recently the app was opened, so a stricter app-lock timer on top of it would duplicate coverage rather than add any, without covering a risk that isn't already covered. Real residual, not resolved here: that argument holds for Owner/Manager and Franchise Owner because Decision 12 already covers their specific sensitive actions, but it doesn't extend to Guardian — Decision 57 deliberately reuses the Guardian's ordinary OTP-verified login as its consent context rather than adding a heavier gate, so for Guardian specifically this uniform re-lock is the only mechanism standing between an unlocked device and both a saved-payment-method purchase and a consent-record change for someone else's child, not one layer among several the way it is for Owner-tier. Whether Guardian-specific actions (consent withdrawal, payment reuse) warrant their own step-up extension to Decision 12 is a related but separate question, deliberately not decided here rather than silently assumed as already covered. Scoped to the two mobile distributions only, the same scoping this pass applied to Decision 60: the web apps (School Portal, Platform Admin) hold tokens in httpOnly/Secure/SameSite cookies, not device-resident storage (Section 4.4), have no biometric-hardware equivalent, and an open browser tab is a different, already-standard problem the existing cookie/token-TTL mechanism already covers — not an open gap this decision needs to solve. Full detail in Section 4.4, Section 12.1 Decision 12, Section 12.1 Decision 57.</w:t>
      </w:r>
    </w:p>
    <w:p w:rsidR="00000000" w:rsidDel="00000000" w:rsidP="00000000" w:rsidRDefault="00000000" w:rsidRPr="00000000" w14:paraId="0002F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Staging/test-data provisioning strategy defined (Decision 62):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resolved where dev/staging/production live (AWS: RDS/ElastiCache/ECS Fargate) but never said what data populates them — a real gap given what's now in this model: WaiverSignature, Decision 57's Guardian ConsentRecord, and R2-held signed-waiver and invoice PDFs. The common default of copying production into staging is also the most common way regulated data ends up somewhere with weaker access controls and more people able to see it, and that risk is sharper here specifically because GDPR/LGPD compliance is already a confirmed open item (Section 12.2, data residency) — quietly copying the same regulated data into a second, lower-security environment is exactly the kind of processing-outside-the-consented-purpose that item already flags for the primary environment. Default: synthetic seed data, never a production copy, as standing infrastructure for both local dev and staging alike — one deterministic, schema-driven seed/factory script serving both, covering the real enum/status space the app needs to exercise, rather than hand-authored fixtures that go stale as the schema evolves. This is deliberately not a one-time factory: when a real bug surfaces in production, the fix includes adding a synthetic fixture that reproduces its shape, not the customer's actual data, so genuinely weird real-world cases (a Guardian linked across two Schools, an orphaned FranchiseFeeCharge from a School that changed affiliation) become permanent regression coverage without the seed corpus ever needing a real record. Payment data needs no synthesizing at all, structurally rather than by policy: staging runs on Stripe's own separate test-mode credentials and test cards, the same way ULTM8 itself never touches raw card numbers in production (Section 10.4) — there's nothing payment-shaped to accidentally copy because the two environments are wired to different Stripe accounts entirely. Object storage gets the same treatment: staging holds its own small set of synthetic sample PDFs/images, never customer waiver or invoice files, independent of R2's own backup/versioning story still being a loose end (Section 13). Rejected: anonymized-production-copy as the default, the other common industry pattern — correctly anonymizing a relational, multi-tenant dataset with cross-references (a Guardian linked to a minor, RLS tenant boundaries, a consent record tied to both) is genuinely hard to get right, and given GDPR/LGPD compliance is already unresolved for this platform, adding whether an anonymization pipeline is itself legally sufficient as a second open legal question compounds risk instead of reducing it. The rare real-data need — debugging an actual customer-reported issue — doesn't loosen the staging default; it gets its own narrow path reusing mechanisms this document already built rather than new ones: a break-glass action restricted to the Full Platform Admin sub-role, the only tier that can invoke break-glass at all (Section 4.4), which itself writes an AuditLogEntry naming the specific tenant and data subjects touched, not just tenant-level (Decision 43's data-subject granularity), and doesn't persist the extract in the shared staging environment afterward. Directly relevant to, and cross-referenced from, the still-open Data residency/GDPR item (Section 12.2) — this decision doesn't resolve that item, but a synthetic-first staging policy is evidence toward how it eventually will. Full detail in Section 4.4, Section 10.4, Section 11.6, Section 12.1 Decision 43, Section 12.2.</w:t>
      </w:r>
    </w:p>
    <w:p w:rsidR="00000000" w:rsidDel="00000000" w:rsidP="00000000" w:rsidRDefault="00000000" w:rsidRPr="00000000" w14:paraId="0002F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RDS Proxy connection-budget verification required (Decision 63):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30 added a per-Fargate-task connection-pool ceiling in front of RDS Proxy, stating this prevents a booking-rush autoscale event from exhausting RDS's own connection limit — but nothing bounds total task count for either the API tier or the BullMQ-worker tier (no stated ECS autoscaling maximum for the API tier, no stated worker-fleet sizing), and Decision 51's load-test plan only scripts API-tier booking/credit-claim traffic, never worker-tier concurrency. Whether the per-task ceiling alone actually delivers on Decision 30's stated claim depends on specifics of how RDS Proxy's connection pooling behaves under this stack's traffic pattern (Prisma's query/transaction shape in particular) that shouldn't be asserted as settled fact here — that's a build-time verification question against current AWS RDS Proxy documentation and Prisma's own connection-pooler compatibility guidance, not something resolved by architectural reasoning in a spec review. Two things don't need to wait on that verification, since they're worth doing on their own merits regardless of how it resolves: an explicit ECS autoscaling maximum for the API tier (bounds worst-case AWS spend and blast radius, independent of the connection-pooling question), and confirmation of whether the worker fleet is fixed-size or itself autoscales, with the same kind of ceiling applied if it does. Decision 51's load test is the actual arbiter, not documentation-level reasoning: extended to run at the stated autoscaling ceiling, with whatever Prisma/RDS Proxy pooler configuration the verification step lands on, concurrently with worker-tier peak load (at minimum franchise-fee-usage-reporting and dashboard-KPI-aggregation, the heaviest-touching jobs) rather than validating each tier in isolation — whether RDS's connection count actually stays bounded under that combined test is the real answer, independent of which specific pooling mechanism turns out to be responsible. Full detail in Section 11.6 Decision 30, Section 12.1 Decision 32, Section 12.1 Decision 51.</w:t>
      </w:r>
    </w:p>
    <w:p w:rsidR="00000000" w:rsidDel="00000000" w:rsidP="00000000" w:rsidRDefault="00000000" w:rsidRPr="00000000" w14:paraId="0002F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Trial-reissuance fee dodge closed (Decision 64):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54 defined “active student” (the shared basis for both the Franchise's Per-Headcount fee and ULTM8's own white-label metered fee) and capped a single Trial Membership at 30 days so a School couldn't leave a Student on Trial indefinitely. It didn't cap how many times a School can re-grant Trial to the same Student: nothing stops issuing a fresh 30-day Trial the moment the previous one expires, chaining Trials back-to-back forever. Because both fees key off the identical active-student definition, this one gap dodges two separate revenue streams at once while the Student keeps full product access throughout. A hard lifetime cap (one Trial ever, per Student per School) would close it completely but doesn't match how these businesses actually operate — re-offering a trial to a prospect who dropped out and is taking another look years later is normal, legitimate use, not abuse. Closed instead by extending Decision 54's existing mechanism rather than adding a new one: the same 30-day ceiling now applies cumulatively across all Trial Memberships for a given Student-School pair within a rolling 12-month window, not per individual Trial record. A School can still re-trial a lapsed prospect at any time; what it can't do is chain Trials back-to-back to stay permanently under the billable threshold. Enforced at the same point Decision 54 already validates — MembershipPlan creation/update for type=Trial Membership — by summing the Student's Trial days at that School over the trailing 12 months and rejecting a new Trial that would push the total past 30. Full detail in Section 6.1, Section 9, Section 10.2, Section 12.1 Decision 54.</w:t>
      </w:r>
    </w:p>
    <w:p w:rsidR="00000000" w:rsidDel="00000000" w:rsidP="00000000" w:rsidRDefault="00000000" w:rsidRPr="00000000" w14:paraId="0002F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Trial-volume visibility added at the incentive-aligned level (Decision 65):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64's cap is keyed to a Student identity that costs nothing to throw away and recreate — there's no email/phone uniqueness constraint on User registration, and Decision 44's account-deletion job anonymizes personal fields, so delete-and-re-register produces a Student with zero Trial history and no way for Decision 64's 12-month check to see across that boundary. A technical dedup strong enough to catch this (matching hashed contact info across deleted accounts) needs a key-based HMAC, not a plain hash — email and phone are low-entropy enough that a plain hash is practically reversible by guessing candidates — and even done correctly, the result is pseudonymized, not anonymized, data under GDPR, since ULTM8 itself holds the means to re-match it; retaining that against an erasure request is a real, unresolved legal question, not one this review can settle. Nor does it help to rely on staff simply recognizing a repeat visitor: this platform confirms multi-branch Franchises and remote video-based Lesson access (Decision 58), so there's no reliable in-person backstop to lean on. The deciding factor against building the technical fix is incentive, not just cost: the abuse costs the Franchise its Per-Headcount fee and costs ULTM8 its white-label fee — it doesn't cost the School anything, so a signal visible only to the School lands with the one party that has no financial reason to act on it. Added instead, at near-zero cost: the existing dashboard-KPI-aggregation job (Section 9) is extended to surface Trial-to-paid conversion-rate and Trial-volume trends at the Franchise level for Franchise-affiliated Schools, and as a Platform Admin-visible metric for the white-label-fee side — the two parties actually losing revenue, not the School. This is a weak, noisy signal, not a precise one — a conversion-rate drop has many innocent explanations — and is not itself presented as closing the loophole; see the new Section 12.2 item for the harder question this doesn't resolve. Full detail in Section 9, Section 12.1 Decision 44, Section 12.1 Decision 54, Section 12.1 Decision 64, Section 12.2.</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 UAE checked directly, Pass 8 Round 3: Express accounts are confirmed available there for a foreign platform like ULTM8 (per Stripe's own current documentation), so Section 10.4's existing Express-or-Standard architecture holds without change — but UAE connected-account holders are required to provide a valid UAE trade license during verification, so an individual or informal instructor without a registered business entity likely can't onboard a School's PaymentAccount there. Other markets in Section 1.1's currency list haven't been checked the same way yet.</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Malaysia,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 Related, added Pass 8: Decision 62's synthetic-first staging/test-data policy doesn't resolve this item, but is directly relevant evidence toward how it eventually will, since it settles that regulated data isn't processed a second time in a lower-security environment regardless of how the region/RLS question above resolves.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2F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Guardian-specific step-up authentication not extended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61's app-level re-lock deliberately applies one uniform threshold rather than a stricter tier for every role, reasoning that Owner/Manager and Franchise Owner's specific sensitive actions (payout/bank-detail changes, refunds) are already gated by Decision 12's step-up MFA regardless of re-lock state. That reasoning doesn't extend to Guardian: Decision 57 deliberately reuses the Guardian's ordinary OTP-verified login as its consent context rather than adding a heavier gate, so a Guardian's saved-payment-method purchases and ConsentRecord withdrawal for a linked minor have no step-up equivalent at all — the app-level re-lock is the only mechanism protecting them, not one layer among several the way it is for Owner-tier. Whether either of those two actions warrants its own step-up extension to Decision 12 — and if so, whether both or only the consent-withdrawal case, given what's actually at stake in each — is a real product call, not decided here rather than silently assumed as already covered. Full detail in Section 12.1 Decision 12, Section 12.1 Decision 57, Section 12.1 Decision 61.</w:t>
      </w:r>
    </w:p>
    <w:p w:rsidR="00000000" w:rsidDel="00000000" w:rsidP="00000000" w:rsidRDefault="00000000" w:rsidRPr="00000000" w14:paraId="0002F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Trial-reissuance prevention mechanism genuinely unresolved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65 added cheap, incentive-aligned visibility into the Trial-reissuance fee-dodge pattern (Section 9's dashboard-KPI-aggregation job, surfaced to Franchise and Platform Admin), but deliberately didn't build a precise prevention mechanism, because neither option available is clean: an HMAC-based dedup on email/phone strong enough to actually catch a recreated account survives deletion by design, which means it's pseudonymized personal data ULTM8 continues to hold specifically to re-identify someone who requested erasure — a real tension with GDPR/LGPD expectations, not a settled legal question; the cheap alternative (the Decision 65 metric) is only a noisy proxy that doesn't distinguish this specific abuse from ordinary sales/conversion variance. Whether to eventually build the stronger mechanism depends on two things this review can't resolve on its own: real legal guidance on whether fraud-prevention-purpose HMAC retention is defensible against an erasure request (the same legal-review track already open for data residency and the money-transmission exemption), and a judgment call on whether the actual abuse rate justifies it once the Decision 65 metric has real data behind it rather than a hypothetical. Flagged rather than built around a guess. Full detail in Section 9, Section 12.1 Decision 44, Section 12.1 Decision 64, Section 12.1 Decision 65.</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(expanded 26 Aug 2026, Pass 8, Round 2): first-response notes for the failure modes this document has surfaced enough detail about to write a real entry for, grounded in the accepted risks and mitigations already decided elsewhere in this spec rather than generic on-call advice — pending the fuller documentation a live team will still need for anything this pass didn't surface.</w:t>
      </w:r>
    </w:p>
    <w:p w:rsidR="00000000" w:rsidDel="00000000" w:rsidP="00000000" w:rsidRDefault="00000000" w:rsidRPr="00000000" w14:paraId="0002F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Stuck Stripe-webhook queue — Section 9,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Bull Board's stripe-webhook-processing queue depth and oldest-waiting-job age first — a backlog here means Memberships aren't activating on payment_intent.succeeded even though Stripe already has the money. Queue-level stats are open to any Platform Admin; the job-detail view requires declaring the tenant/investigation per Decision 53's audit-logged access.</w:t>
      </w:r>
    </w:p>
    <w:p w:rsidR="00000000" w:rsidDel="00000000" w:rsidP="00000000" w:rsidRDefault="00000000" w:rsidRPr="00000000" w14:paraId="0002F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RLS CI-gate failure — Section 4.8,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Treat as a release-blocking signal, never override. It exists specifically to catch a cross-tenant leak before it ships, and a passing build with this check red should be impossible under the branch-protection rule — if one is seen, the branch-protection configuration itself is what to investigate, not the check.</w:t>
      </w:r>
    </w:p>
    <w:p w:rsidR="00000000" w:rsidDel="00000000" w:rsidP="00000000" w:rsidRDefault="00000000" w:rsidRPr="00000000" w14:paraId="0002F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Credential-purge job failure — Section 9,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whether it's a same-day-re-upgrade case the transactional guard is correctly skipping versus a genuine job error — the two look similar in a shallow log scan but require opposite responses: a skip needs no action, a genuine failure risks a School's stored Apple/Google credential outliving its 90-day grace period unpurged (Section 5.5).</w:t>
      </w:r>
    </w:p>
    <w:p w:rsidR="00000000" w:rsidDel="00000000" w:rsidP="00000000" w:rsidRDefault="00000000" w:rsidRPr="00000000" w14:paraId="0002F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Any other background-job backlog or repeated failure — Section 9, Decision 31,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Start with Bull Board's queue depth and oldest-waiting-job age and the failed-job/oldest-waiting-job CloudWatch alarms already wired to alert on this — the same first stop regardless of which of the 17 jobs is involved. Job-detail payloads for internally-triggered jobs carry only IDs, not raw data (Decision 53), so the record to actually inspect is in Postgres, not the queue; only stripe-webhook-processing and otp-delivery carry a raw external payload, and viewing either requires the same declared-tenant audit trail as the item above.</w:t>
      </w:r>
    </w:p>
    <w:p w:rsidR="00000000" w:rsidDel="00000000" w:rsidP="00000000" w:rsidRDefault="00000000" w:rsidRPr="00000000" w14:paraId="0002F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R2 outage blocking waiver/invoice viewing — Section 11.3,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documented risk, not a gap with a built-in failover — Decision 36 accepted it against R2's own high published uptime rather than engineering around it. First response is confirming it's actually an R2-side outage (Cloudflare's own status page) rather than an application bug; if confirmed, there is no mitigation to invoke, only Cloudflare's own resolution to wait on.</w:t>
      </w:r>
    </w:p>
    <w:p w:rsidR="00000000" w:rsidDel="00000000" w:rsidP="00000000" w:rsidRDefault="00000000" w:rsidRPr="00000000" w14:paraId="0002F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delivery failure — Section 11.4, Decision 33,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 the existing fallback actually fired before treating this as a full outage: a Twilio Verify failure should already be falling back to an email-delivered OTP through Postmark, or SES if Postmark itself is also down (Decision 34). This only becomes a genuine incident if both the primary and fallback paths failed together, not on a single Twilio error.</w:t>
      </w:r>
    </w:p>
    <w:p w:rsidR="00000000" w:rsidDel="00000000" w:rsidP="00000000" w:rsidRDefault="00000000" w:rsidRPr="00000000" w14:paraId="0002F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dispute arriving after a related refund already processed — Section 10.2,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risk, not a bug to fix: Decision 55's freeze only blocks future refund/credit actions from the moment a dispute's Disputed status lands, and can't retroactively undo a refund that already completed, since dispute timing is controlled by the cardholder's bank, not by ULTM8. Document the sequence rather than searching for a missed guard.</w:t>
      </w:r>
    </w:p>
    <w:p w:rsidR="00000000" w:rsidDel="00000000" w:rsidP="00000000" w:rsidRDefault="00000000" w:rsidRPr="00000000" w14:paraId="0002F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 Admin retains access briefly after revocation — Section 8.3: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just-revoked Platform Admin session can remain valid for up to 5 minutes — an accepted, not eliminated, window on the live-permission-downgrade JWT TTL, not a security bug. Escalate only if access persists meaningfully past that window.</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