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B78" w:rsidRPr="00574EA6" w:rsidRDefault="001B7B78" w:rsidP="001B7B78">
      <w:pPr>
        <w:pStyle w:val="NormalWeb"/>
        <w:spacing w:before="0" w:beforeAutospacing="0" w:after="0" w:afterAutospacing="0"/>
        <w:textAlignment w:val="baseline"/>
        <w:rPr>
          <w:rFonts w:ascii="Arial" w:hAnsi="Arial" w:cs="Arial"/>
          <w:sz w:val="20"/>
          <w:szCs w:val="20"/>
        </w:rPr>
      </w:pPr>
      <w:r w:rsidRPr="00574EA6">
        <w:rPr>
          <w:rFonts w:ascii="Arial" w:eastAsiaTheme="majorEastAsia" w:hAnsi="Arial" w:cs="Arial"/>
          <w:color w:val="000000" w:themeColor="text1"/>
          <w:kern w:val="24"/>
          <w:sz w:val="20"/>
          <w:szCs w:val="20"/>
        </w:rPr>
        <w:t>Foreign Direct Investment (FDI)</w:t>
      </w:r>
    </w:p>
    <w:p w:rsidR="00FA7F9E" w:rsidRPr="00574EA6" w:rsidRDefault="00C54700">
      <w:pPr>
        <w:rPr>
          <w:rFonts w:ascii="Arial" w:hAnsi="Arial" w:cs="Arial"/>
          <w:sz w:val="20"/>
          <w:szCs w:val="20"/>
        </w:rPr>
      </w:pPr>
    </w:p>
    <w:p w:rsidR="001B7B78" w:rsidRPr="00574EA6" w:rsidRDefault="001B7B78" w:rsidP="001B7B78">
      <w:pPr>
        <w:pStyle w:val="ListParagraph"/>
        <w:numPr>
          <w:ilvl w:val="0"/>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Offers one source of foreign exchange inflows</w:t>
      </w:r>
    </w:p>
    <w:p w:rsidR="001B7B78" w:rsidRPr="00574EA6" w:rsidRDefault="001B7B78" w:rsidP="001B7B78">
      <w:pPr>
        <w:pStyle w:val="ListParagraph"/>
        <w:numPr>
          <w:ilvl w:val="0"/>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In any resource constrained country, FDI can contribute towards:</w:t>
      </w:r>
    </w:p>
    <w:p w:rsidR="001B7B78" w:rsidRPr="00574EA6" w:rsidRDefault="001B7B78" w:rsidP="001B7B78">
      <w:pPr>
        <w:pStyle w:val="ListParagraph"/>
        <w:numPr>
          <w:ilvl w:val="1"/>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Promoting technology and institutional innovation</w:t>
      </w:r>
    </w:p>
    <w:p w:rsidR="001B7B78" w:rsidRPr="00574EA6" w:rsidRDefault="001B7B78" w:rsidP="001B7B78">
      <w:pPr>
        <w:pStyle w:val="ListParagraph"/>
        <w:numPr>
          <w:ilvl w:val="1"/>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Building human capital</w:t>
      </w:r>
    </w:p>
    <w:p w:rsidR="001B7B78" w:rsidRPr="00574EA6" w:rsidRDefault="001B7B78" w:rsidP="001B7B78">
      <w:pPr>
        <w:pStyle w:val="ListParagraph"/>
        <w:numPr>
          <w:ilvl w:val="1"/>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Creating jobs and increasing household incomes</w:t>
      </w:r>
    </w:p>
    <w:p w:rsidR="001B7B78" w:rsidRPr="00574EA6" w:rsidRDefault="001B7B78" w:rsidP="001B7B78">
      <w:pPr>
        <w:pStyle w:val="ListParagraph"/>
        <w:numPr>
          <w:ilvl w:val="1"/>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Promoting overall development</w:t>
      </w:r>
    </w:p>
    <w:p w:rsidR="001B7B78" w:rsidRPr="00574EA6" w:rsidRDefault="001B7B78" w:rsidP="001B7B78">
      <w:pPr>
        <w:pStyle w:val="ListParagraph"/>
        <w:numPr>
          <w:ilvl w:val="0"/>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Many emerging countries have benefited from increased flow of FDI (India, China, Brazil, South Africa)</w:t>
      </w:r>
    </w:p>
    <w:p w:rsidR="001B7B78" w:rsidRPr="00574EA6" w:rsidRDefault="001B7B78" w:rsidP="001B7B78">
      <w:pPr>
        <w:pStyle w:val="ListParagraph"/>
        <w:numPr>
          <w:ilvl w:val="1"/>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Latin American countries had particularly benefited from FDI in promoting agricultural commercialization</w:t>
      </w:r>
    </w:p>
    <w:p w:rsidR="001B7B78" w:rsidRPr="00574EA6" w:rsidRDefault="001B7B78" w:rsidP="001B7B78">
      <w:pPr>
        <w:pStyle w:val="ListParagraph"/>
        <w:numPr>
          <w:ilvl w:val="0"/>
          <w:numId w:val="1"/>
        </w:numPr>
        <w:kinsoku w:val="0"/>
        <w:overflowPunct w:val="0"/>
        <w:spacing w:line="192" w:lineRule="auto"/>
        <w:textAlignment w:val="baseline"/>
        <w:rPr>
          <w:rFonts w:ascii="Arial" w:eastAsia="Times New Roman" w:hAnsi="Arial" w:cs="Arial"/>
          <w:sz w:val="20"/>
          <w:szCs w:val="20"/>
        </w:rPr>
      </w:pPr>
      <w:r w:rsidRPr="00574EA6">
        <w:rPr>
          <w:rFonts w:ascii="Arial" w:hAnsi="Arial" w:cs="Arial"/>
          <w:color w:val="000000" w:themeColor="text1"/>
          <w:kern w:val="24"/>
          <w:sz w:val="20"/>
          <w:szCs w:val="20"/>
        </w:rPr>
        <w:t>Developing countries are receiving an increasing share of FDI</w:t>
      </w:r>
    </w:p>
    <w:p w:rsidR="001B7B78" w:rsidRPr="00574EA6" w:rsidRDefault="001B7B78" w:rsidP="001B7B78">
      <w:pPr>
        <w:pStyle w:val="NormalWeb"/>
        <w:kinsoku w:val="0"/>
        <w:overflowPunct w:val="0"/>
        <w:spacing w:before="115" w:beforeAutospacing="0" w:after="0" w:afterAutospacing="0"/>
        <w:ind w:left="547" w:hanging="547"/>
        <w:textAlignment w:val="baseline"/>
        <w:rPr>
          <w:rFonts w:ascii="Arial" w:hAnsi="Arial" w:cs="Arial"/>
          <w:sz w:val="20"/>
          <w:szCs w:val="20"/>
        </w:rPr>
      </w:pPr>
      <w:r w:rsidRPr="00574EA6">
        <w:rPr>
          <w:rFonts w:ascii="Arial" w:hAnsi="Arial" w:cs="Arial"/>
          <w:color w:val="000000" w:themeColor="text1"/>
          <w:kern w:val="24"/>
          <w:sz w:val="20"/>
          <w:szCs w:val="20"/>
        </w:rPr>
        <w:tab/>
      </w:r>
    </w:p>
    <w:p w:rsidR="001B7B78" w:rsidRPr="00574EA6" w:rsidRDefault="001B7B78" w:rsidP="001B7B78">
      <w:pPr>
        <w:rPr>
          <w:rFonts w:ascii="Arial" w:hAnsi="Arial" w:cs="Arial"/>
          <w:sz w:val="20"/>
          <w:szCs w:val="20"/>
        </w:rPr>
      </w:pPr>
      <w:r w:rsidRPr="00574EA6">
        <w:rPr>
          <w:rFonts w:ascii="Arial" w:hAnsi="Arial" w:cs="Arial"/>
          <w:sz w:val="20"/>
          <w:szCs w:val="20"/>
        </w:rPr>
        <w:t>FDI is generally a positive thing:</w:t>
      </w:r>
    </w:p>
    <w:p w:rsidR="00675252" w:rsidRPr="00574EA6" w:rsidRDefault="00C80E69" w:rsidP="001B7B78">
      <w:pPr>
        <w:numPr>
          <w:ilvl w:val="0"/>
          <w:numId w:val="2"/>
        </w:numPr>
        <w:rPr>
          <w:rFonts w:ascii="Arial" w:hAnsi="Arial" w:cs="Arial"/>
          <w:sz w:val="20"/>
          <w:szCs w:val="20"/>
        </w:rPr>
      </w:pPr>
      <w:r w:rsidRPr="00574EA6">
        <w:rPr>
          <w:rFonts w:ascii="Arial" w:hAnsi="Arial" w:cs="Arial"/>
          <w:sz w:val="20"/>
          <w:szCs w:val="20"/>
        </w:rPr>
        <w:t xml:space="preserve">FDI </w:t>
      </w:r>
      <w:proofErr w:type="gramStart"/>
      <w:r w:rsidRPr="00574EA6">
        <w:rPr>
          <w:rFonts w:ascii="Arial" w:hAnsi="Arial" w:cs="Arial"/>
          <w:sz w:val="20"/>
          <w:szCs w:val="20"/>
        </w:rPr>
        <w:t>Helps</w:t>
      </w:r>
      <w:proofErr w:type="gramEnd"/>
      <w:r w:rsidRPr="00574EA6">
        <w:rPr>
          <w:rFonts w:ascii="Arial" w:hAnsi="Arial" w:cs="Arial"/>
          <w:sz w:val="20"/>
          <w:szCs w:val="20"/>
        </w:rPr>
        <w:t xml:space="preserve"> the country by increasing the country’s capital stocks, helping with the balance of payments. </w:t>
      </w:r>
    </w:p>
    <w:p w:rsidR="00675252" w:rsidRPr="00574EA6" w:rsidRDefault="00C80E69" w:rsidP="001B7B78">
      <w:pPr>
        <w:numPr>
          <w:ilvl w:val="0"/>
          <w:numId w:val="2"/>
        </w:numPr>
        <w:rPr>
          <w:rFonts w:ascii="Arial" w:hAnsi="Arial" w:cs="Arial"/>
          <w:sz w:val="20"/>
          <w:szCs w:val="20"/>
        </w:rPr>
      </w:pPr>
      <w:r w:rsidRPr="00574EA6">
        <w:rPr>
          <w:rFonts w:ascii="Arial" w:hAnsi="Arial" w:cs="Arial"/>
          <w:sz w:val="20"/>
          <w:szCs w:val="20"/>
        </w:rPr>
        <w:t xml:space="preserve">FDI can create employment. </w:t>
      </w:r>
    </w:p>
    <w:p w:rsidR="00675252" w:rsidRPr="00574EA6" w:rsidRDefault="00C80E69" w:rsidP="001B7B78">
      <w:pPr>
        <w:numPr>
          <w:ilvl w:val="0"/>
          <w:numId w:val="2"/>
        </w:numPr>
        <w:rPr>
          <w:rFonts w:ascii="Arial" w:hAnsi="Arial" w:cs="Arial"/>
          <w:sz w:val="20"/>
          <w:szCs w:val="20"/>
        </w:rPr>
      </w:pPr>
      <w:r w:rsidRPr="00574EA6">
        <w:rPr>
          <w:rFonts w:ascii="Arial" w:hAnsi="Arial" w:cs="Arial"/>
          <w:sz w:val="20"/>
          <w:szCs w:val="20"/>
        </w:rPr>
        <w:t>FDI can introduce new technology which is then adopted by locals.</w:t>
      </w: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r w:rsidRPr="00574EA6">
        <w:rPr>
          <w:rFonts w:ascii="Arial" w:hAnsi="Arial" w:cs="Arial"/>
          <w:sz w:val="20"/>
          <w:szCs w:val="20"/>
        </w:rPr>
        <w:t>Trends in FDI to sub-Saharan Africa</w:t>
      </w:r>
    </w:p>
    <w:p w:rsidR="001B7B78" w:rsidRPr="00574EA6" w:rsidRDefault="001B7B78" w:rsidP="001B7B78">
      <w:pPr>
        <w:rPr>
          <w:rFonts w:ascii="Arial" w:hAnsi="Arial" w:cs="Arial"/>
          <w:sz w:val="20"/>
          <w:szCs w:val="20"/>
        </w:rPr>
      </w:pPr>
      <w:r w:rsidRPr="00574EA6">
        <w:rPr>
          <w:rFonts w:ascii="Arial" w:hAnsi="Arial" w:cs="Arial"/>
          <w:sz w:val="20"/>
          <w:szCs w:val="20"/>
        </w:rPr>
        <w:t>FDI hasn’t changed much over time in SSA.  In Absolute terms, the volumes of FDI are up, but the share of FDI going to SSA is quite small.</w:t>
      </w:r>
    </w:p>
    <w:p w:rsidR="001B7B78" w:rsidRPr="00574EA6" w:rsidRDefault="001B7B78">
      <w:pPr>
        <w:rPr>
          <w:rFonts w:ascii="Arial" w:hAnsi="Arial" w:cs="Arial"/>
          <w:sz w:val="20"/>
          <w:szCs w:val="20"/>
        </w:rPr>
      </w:pPr>
    </w:p>
    <w:p w:rsidR="008B2976" w:rsidRPr="00574EA6" w:rsidRDefault="008B2976">
      <w:pPr>
        <w:rPr>
          <w:rFonts w:ascii="Arial" w:hAnsi="Arial" w:cs="Arial"/>
          <w:sz w:val="20"/>
          <w:szCs w:val="20"/>
        </w:rPr>
      </w:pPr>
    </w:p>
    <w:p w:rsidR="008B2976" w:rsidRPr="00574EA6" w:rsidRDefault="008B2976">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p w:rsidR="001B7B78" w:rsidRPr="00574EA6" w:rsidRDefault="001B7B78">
      <w:pPr>
        <w:rPr>
          <w:rFonts w:ascii="Arial" w:hAnsi="Arial" w:cs="Arial"/>
          <w:sz w:val="20"/>
          <w:szCs w:val="20"/>
        </w:rPr>
      </w:pPr>
    </w:p>
    <w:tbl>
      <w:tblPr>
        <w:tblpPr w:leftFromText="180" w:rightFromText="180" w:horzAnchor="margin" w:tblpXSpec="center" w:tblpY="255"/>
        <w:tblW w:w="10140" w:type="dxa"/>
        <w:tblCellMar>
          <w:left w:w="0" w:type="dxa"/>
          <w:right w:w="0" w:type="dxa"/>
        </w:tblCellMar>
        <w:tblLook w:val="0420" w:firstRow="1" w:lastRow="0" w:firstColumn="0" w:lastColumn="0" w:noHBand="0" w:noVBand="1"/>
      </w:tblPr>
      <w:tblGrid>
        <w:gridCol w:w="3079"/>
        <w:gridCol w:w="2878"/>
        <w:gridCol w:w="4183"/>
      </w:tblGrid>
      <w:tr w:rsidR="001B7B78" w:rsidRPr="00574EA6" w:rsidTr="001B7B78">
        <w:trPr>
          <w:trHeight w:val="658"/>
        </w:trPr>
        <w:tc>
          <w:tcPr>
            <w:tcW w:w="3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Decades</w:t>
            </w:r>
          </w:p>
        </w:tc>
        <w:tc>
          <w:tcPr>
            <w:tcW w:w="2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FDI to SSA</w:t>
            </w:r>
          </w:p>
        </w:tc>
        <w:tc>
          <w:tcPr>
            <w:tcW w:w="41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SSA Share in Word FDI</w:t>
            </w:r>
          </w:p>
        </w:tc>
      </w:tr>
      <w:tr w:rsidR="001B7B78" w:rsidRPr="00574EA6" w:rsidTr="001B7B78">
        <w:trPr>
          <w:trHeight w:val="703"/>
        </w:trPr>
        <w:tc>
          <w:tcPr>
            <w:tcW w:w="3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1970s</w:t>
            </w:r>
          </w:p>
        </w:tc>
        <w:tc>
          <w:tcPr>
            <w:tcW w:w="2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US$907 Million</w:t>
            </w:r>
          </w:p>
        </w:tc>
        <w:tc>
          <w:tcPr>
            <w:tcW w:w="41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5 Percent</w:t>
            </w:r>
          </w:p>
        </w:tc>
      </w:tr>
      <w:tr w:rsidR="001B7B78" w:rsidRPr="00574EA6" w:rsidTr="001B7B78">
        <w:trPr>
          <w:trHeight w:val="703"/>
        </w:trPr>
        <w:tc>
          <w:tcPr>
            <w:tcW w:w="3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1980s</w:t>
            </w:r>
          </w:p>
        </w:tc>
        <w:tc>
          <w:tcPr>
            <w:tcW w:w="2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US$ 1.3 Billion</w:t>
            </w:r>
          </w:p>
        </w:tc>
        <w:tc>
          <w:tcPr>
            <w:tcW w:w="41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 xml:space="preserve">2 Percent </w:t>
            </w:r>
          </w:p>
        </w:tc>
      </w:tr>
      <w:tr w:rsidR="001B7B78" w:rsidRPr="00574EA6" w:rsidTr="001B7B78">
        <w:trPr>
          <w:trHeight w:val="703"/>
        </w:trPr>
        <w:tc>
          <w:tcPr>
            <w:tcW w:w="3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1990s</w:t>
            </w:r>
          </w:p>
        </w:tc>
        <w:tc>
          <w:tcPr>
            <w:tcW w:w="2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US$ 4.3 Billion</w:t>
            </w:r>
          </w:p>
        </w:tc>
        <w:tc>
          <w:tcPr>
            <w:tcW w:w="41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 xml:space="preserve">3 Percent </w:t>
            </w:r>
          </w:p>
        </w:tc>
      </w:tr>
      <w:tr w:rsidR="001B7B78" w:rsidRPr="00574EA6" w:rsidTr="001B7B78">
        <w:trPr>
          <w:trHeight w:val="703"/>
        </w:trPr>
        <w:tc>
          <w:tcPr>
            <w:tcW w:w="3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Early 2000</w:t>
            </w:r>
          </w:p>
        </w:tc>
        <w:tc>
          <w:tcPr>
            <w:tcW w:w="2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US$10 Billion</w:t>
            </w:r>
          </w:p>
        </w:tc>
        <w:tc>
          <w:tcPr>
            <w:tcW w:w="41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7B78" w:rsidRPr="00574EA6" w:rsidRDefault="001B7B78" w:rsidP="001B7B78">
            <w:pPr>
              <w:spacing w:after="0" w:line="240" w:lineRule="auto"/>
              <w:jc w:val="center"/>
              <w:rPr>
                <w:rFonts w:ascii="Arial" w:eastAsia="Times New Roman" w:hAnsi="Arial" w:cs="Arial"/>
                <w:sz w:val="20"/>
                <w:szCs w:val="20"/>
              </w:rPr>
            </w:pPr>
            <w:r w:rsidRPr="00574EA6">
              <w:rPr>
                <w:rFonts w:ascii="Arial" w:eastAsia="Times New Roman" w:hAnsi="Arial" w:cs="Arial"/>
                <w:color w:val="000000" w:themeColor="text1"/>
                <w:kern w:val="24"/>
                <w:sz w:val="20"/>
                <w:szCs w:val="20"/>
              </w:rPr>
              <w:t xml:space="preserve">4 percent </w:t>
            </w:r>
          </w:p>
        </w:tc>
      </w:tr>
    </w:tbl>
    <w:p w:rsidR="001B7B78" w:rsidRPr="00574EA6" w:rsidRDefault="001B7B7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675252" w:rsidRPr="00574EA6" w:rsidRDefault="00C80E69" w:rsidP="00D36B68">
      <w:pPr>
        <w:numPr>
          <w:ilvl w:val="0"/>
          <w:numId w:val="4"/>
        </w:numPr>
        <w:rPr>
          <w:rFonts w:ascii="Arial" w:hAnsi="Arial" w:cs="Arial"/>
          <w:sz w:val="20"/>
          <w:szCs w:val="20"/>
        </w:rPr>
      </w:pPr>
      <w:r w:rsidRPr="00574EA6">
        <w:rPr>
          <w:rFonts w:ascii="Arial" w:hAnsi="Arial" w:cs="Arial"/>
          <w:sz w:val="20"/>
          <w:szCs w:val="20"/>
        </w:rPr>
        <w:t>FDI to Africa has increased in absolute terms, but has declined relative to growth in overall flow of FDI to developing countries.</w:t>
      </w:r>
    </w:p>
    <w:p w:rsidR="00675252" w:rsidRPr="00574EA6" w:rsidRDefault="00C80E69" w:rsidP="00D36B68">
      <w:pPr>
        <w:numPr>
          <w:ilvl w:val="0"/>
          <w:numId w:val="4"/>
        </w:numPr>
        <w:rPr>
          <w:rFonts w:ascii="Arial" w:hAnsi="Arial" w:cs="Arial"/>
          <w:sz w:val="20"/>
          <w:szCs w:val="20"/>
        </w:rPr>
      </w:pPr>
      <w:r w:rsidRPr="00574EA6">
        <w:rPr>
          <w:rFonts w:ascii="Arial" w:hAnsi="Arial" w:cs="Arial"/>
          <w:sz w:val="20"/>
          <w:szCs w:val="20"/>
        </w:rPr>
        <w:t xml:space="preserve">Understanding this puzzling trend is subject of large body of research </w:t>
      </w:r>
    </w:p>
    <w:p w:rsidR="00D36B68" w:rsidRPr="00574EA6" w:rsidRDefault="00D36B68" w:rsidP="00D36B68">
      <w:pPr>
        <w:rPr>
          <w:rFonts w:ascii="Arial" w:hAnsi="Arial" w:cs="Arial"/>
          <w:sz w:val="20"/>
          <w:szCs w:val="20"/>
        </w:rPr>
      </w:pPr>
    </w:p>
    <w:p w:rsidR="00D36B68" w:rsidRPr="00574EA6" w:rsidRDefault="00D36B68" w:rsidP="00D36B68">
      <w:pPr>
        <w:rPr>
          <w:rFonts w:ascii="Arial" w:hAnsi="Arial" w:cs="Arial"/>
          <w:sz w:val="20"/>
          <w:szCs w:val="20"/>
        </w:rPr>
      </w:pPr>
      <w:r w:rsidRPr="00574EA6">
        <w:rPr>
          <w:rFonts w:ascii="Arial" w:hAnsi="Arial" w:cs="Arial"/>
          <w:sz w:val="20"/>
          <w:szCs w:val="20"/>
        </w:rPr>
        <w:t>What will attract FDI to Africa?</w:t>
      </w:r>
    </w:p>
    <w:p w:rsidR="00675252" w:rsidRPr="00574EA6" w:rsidRDefault="00C80E69" w:rsidP="00D36B68">
      <w:pPr>
        <w:numPr>
          <w:ilvl w:val="0"/>
          <w:numId w:val="5"/>
        </w:numPr>
        <w:rPr>
          <w:rFonts w:ascii="Arial" w:hAnsi="Arial" w:cs="Arial"/>
          <w:sz w:val="20"/>
          <w:szCs w:val="20"/>
        </w:rPr>
      </w:pPr>
      <w:r w:rsidRPr="00574EA6">
        <w:rPr>
          <w:rFonts w:ascii="Arial" w:hAnsi="Arial" w:cs="Arial"/>
          <w:sz w:val="20"/>
          <w:szCs w:val="20"/>
        </w:rPr>
        <w:t>The simplest answer to the question is “ possibility of profitability”</w:t>
      </w:r>
    </w:p>
    <w:p w:rsidR="00675252" w:rsidRPr="00574EA6" w:rsidRDefault="00C80E69" w:rsidP="00D36B68">
      <w:pPr>
        <w:numPr>
          <w:ilvl w:val="0"/>
          <w:numId w:val="5"/>
        </w:numPr>
        <w:rPr>
          <w:rFonts w:ascii="Arial" w:hAnsi="Arial" w:cs="Arial"/>
          <w:sz w:val="20"/>
          <w:szCs w:val="20"/>
        </w:rPr>
      </w:pPr>
      <w:r w:rsidRPr="00574EA6">
        <w:rPr>
          <w:rFonts w:ascii="Arial" w:hAnsi="Arial" w:cs="Arial"/>
          <w:sz w:val="20"/>
          <w:szCs w:val="20"/>
        </w:rPr>
        <w:t>What determines the FDI profitability? Consider the following:</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Economic openness</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Size of the economy</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Political stability</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Infrastructural development</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Institutional capacity</w:t>
      </w:r>
    </w:p>
    <w:p w:rsidR="00675252" w:rsidRPr="00574EA6" w:rsidRDefault="00C80E69" w:rsidP="00D36B68">
      <w:pPr>
        <w:numPr>
          <w:ilvl w:val="1"/>
          <w:numId w:val="5"/>
        </w:numPr>
        <w:rPr>
          <w:rFonts w:ascii="Arial" w:hAnsi="Arial" w:cs="Arial"/>
          <w:sz w:val="20"/>
          <w:szCs w:val="20"/>
        </w:rPr>
      </w:pPr>
      <w:r w:rsidRPr="00574EA6">
        <w:rPr>
          <w:rFonts w:ascii="Arial" w:hAnsi="Arial" w:cs="Arial"/>
          <w:sz w:val="20"/>
          <w:szCs w:val="20"/>
        </w:rPr>
        <w:t>Regulatory environment</w:t>
      </w:r>
    </w:p>
    <w:p w:rsidR="00D36B68" w:rsidRPr="00574EA6" w:rsidRDefault="00D36B68" w:rsidP="00D36B68">
      <w:pPr>
        <w:rPr>
          <w:rFonts w:ascii="Arial" w:hAnsi="Arial" w:cs="Arial"/>
          <w:sz w:val="20"/>
          <w:szCs w:val="20"/>
        </w:rPr>
      </w:pPr>
      <w:r w:rsidRPr="00574EA6">
        <w:rPr>
          <w:rFonts w:ascii="Arial" w:hAnsi="Arial" w:cs="Arial"/>
          <w:sz w:val="20"/>
          <w:szCs w:val="20"/>
        </w:rPr>
        <w:t>One way to analyze why FDI vary by country is to compare a common indictor. World Bank produces such an indicator, called “the ease of doing business”. It ranks countries based on the following indicators</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Starting a Business</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Dealing with Construction Permits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Registering a property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Getting credit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Protecting Investors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Paying taxes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Trading across borders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lastRenderedPageBreak/>
        <w:t xml:space="preserve">Enforcing contracts </w:t>
      </w:r>
    </w:p>
    <w:p w:rsidR="00675252" w:rsidRPr="00574EA6" w:rsidRDefault="00C80E69" w:rsidP="00D36B68">
      <w:pPr>
        <w:numPr>
          <w:ilvl w:val="1"/>
          <w:numId w:val="6"/>
        </w:numPr>
        <w:rPr>
          <w:rFonts w:ascii="Arial" w:hAnsi="Arial" w:cs="Arial"/>
          <w:sz w:val="20"/>
          <w:szCs w:val="20"/>
        </w:rPr>
      </w:pPr>
      <w:r w:rsidRPr="00574EA6">
        <w:rPr>
          <w:rFonts w:ascii="Arial" w:hAnsi="Arial" w:cs="Arial"/>
          <w:sz w:val="20"/>
          <w:szCs w:val="20"/>
        </w:rPr>
        <w:t xml:space="preserve">Closing business </w:t>
      </w:r>
    </w:p>
    <w:p w:rsidR="00D36B68" w:rsidRPr="00574EA6" w:rsidRDefault="00D36B68" w:rsidP="00D36B68">
      <w:pPr>
        <w:numPr>
          <w:ilvl w:val="0"/>
          <w:numId w:val="6"/>
        </w:numPr>
        <w:rPr>
          <w:rFonts w:ascii="Arial" w:hAnsi="Arial" w:cs="Arial"/>
          <w:sz w:val="20"/>
          <w:szCs w:val="20"/>
        </w:rPr>
      </w:pPr>
      <w:r w:rsidRPr="00574EA6">
        <w:rPr>
          <w:rFonts w:ascii="Arial" w:hAnsi="Arial" w:cs="Arial"/>
          <w:sz w:val="20"/>
          <w:szCs w:val="20"/>
        </w:rPr>
        <w:t>It seems that something isn’t being captured in the World Bank’s ease of doing business scale.  AAMP countries are performing just as well as BRIC countries according to this scale, yet the economies of the BRIC countries are far outstripping those of SSA.</w:t>
      </w:r>
    </w:p>
    <w:p w:rsidR="00D36B68" w:rsidRPr="00574EA6" w:rsidRDefault="00D36B68" w:rsidP="00D36B68">
      <w:pPr>
        <w:rPr>
          <w:rFonts w:ascii="Arial" w:hAnsi="Arial" w:cs="Arial"/>
          <w:sz w:val="20"/>
          <w:szCs w:val="20"/>
        </w:rPr>
      </w:pPr>
      <w:r w:rsidRPr="00574EA6">
        <w:rPr>
          <w:rFonts w:ascii="Arial" w:hAnsi="Arial" w:cs="Arial"/>
          <w:noProof/>
          <w:sz w:val="20"/>
          <w:szCs w:val="20"/>
        </w:rPr>
        <w:drawing>
          <wp:inline distT="0" distB="0" distL="0" distR="0" wp14:anchorId="575E9E5A" wp14:editId="63EDCB98">
            <wp:extent cx="5486400" cy="4943879"/>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6B68" w:rsidRPr="00574EA6" w:rsidRDefault="00D36B68" w:rsidP="00D36B68">
      <w:pPr>
        <w:rPr>
          <w:rFonts w:ascii="Arial" w:hAnsi="Arial" w:cs="Arial"/>
          <w:sz w:val="20"/>
          <w:szCs w:val="20"/>
        </w:rPr>
      </w:pPr>
    </w:p>
    <w:p w:rsidR="00D36B68" w:rsidRPr="00574EA6" w:rsidRDefault="00D36B68" w:rsidP="00D36B68">
      <w:pPr>
        <w:rPr>
          <w:rFonts w:ascii="Arial" w:hAnsi="Arial" w:cs="Arial"/>
          <w:sz w:val="20"/>
          <w:szCs w:val="20"/>
        </w:rPr>
      </w:pPr>
      <w:r w:rsidRPr="00574EA6">
        <w:rPr>
          <w:rFonts w:ascii="Arial" w:hAnsi="Arial" w:cs="Arial"/>
          <w:sz w:val="20"/>
          <w:szCs w:val="20"/>
        </w:rPr>
        <w:t xml:space="preserve">Sub-Saharan Africa has lagged behind other developing countries in terms of FDI.  In the Zambia v. Brazil example, it’s remarkable to note that from 1970 to the early 1990’s the two countries received very little FDI.  Then, after 1994, Brazil began to attract huge sums compared to Zambia.  </w:t>
      </w:r>
    </w:p>
    <w:p w:rsidR="00D36B68" w:rsidRPr="00574EA6" w:rsidRDefault="00D36B68" w:rsidP="00D36B68">
      <w:pPr>
        <w:rPr>
          <w:rFonts w:ascii="Arial" w:hAnsi="Arial" w:cs="Arial"/>
          <w:sz w:val="20"/>
          <w:szCs w:val="20"/>
        </w:rPr>
      </w:pPr>
      <w:r w:rsidRPr="00574EA6">
        <w:rPr>
          <w:rFonts w:ascii="Arial" w:hAnsi="Arial" w:cs="Arial"/>
          <w:sz w:val="20"/>
          <w:szCs w:val="20"/>
        </w:rPr>
        <w:t>What is Brazil doing that Zambia is not doing?  How can SSA attract more FDI?</w:t>
      </w:r>
    </w:p>
    <w:p w:rsidR="00D36B68" w:rsidRPr="00574EA6" w:rsidRDefault="00D36B68" w:rsidP="00D36B68">
      <w:pPr>
        <w:rPr>
          <w:rFonts w:ascii="Arial" w:hAnsi="Arial" w:cs="Arial"/>
          <w:sz w:val="20"/>
          <w:szCs w:val="20"/>
        </w:rPr>
      </w:pPr>
      <w:r w:rsidRPr="00574EA6">
        <w:rPr>
          <w:rFonts w:ascii="Arial" w:hAnsi="Arial" w:cs="Arial"/>
          <w:sz w:val="20"/>
          <w:szCs w:val="20"/>
        </w:rPr>
        <w:t>Supply -</w:t>
      </w:r>
    </w:p>
    <w:p w:rsidR="00D36B68" w:rsidRPr="00574EA6" w:rsidRDefault="00D36B68" w:rsidP="00D36B68">
      <w:pPr>
        <w:rPr>
          <w:rFonts w:ascii="Arial" w:hAnsi="Arial" w:cs="Arial"/>
          <w:sz w:val="20"/>
          <w:szCs w:val="20"/>
        </w:rPr>
      </w:pPr>
      <w:r w:rsidRPr="00574EA6">
        <w:rPr>
          <w:rFonts w:ascii="Arial" w:hAnsi="Arial" w:cs="Arial"/>
          <w:sz w:val="20"/>
          <w:szCs w:val="20"/>
        </w:rPr>
        <w:t xml:space="preserve">Where does the supply of foreign currency come from?  Most foreign currency comes from exports.  When coffee is sold from the highlands of Tanzania, US Dollars come into the country.  Export of services </w:t>
      </w:r>
      <w:r w:rsidRPr="00574EA6">
        <w:rPr>
          <w:rFonts w:ascii="Arial" w:hAnsi="Arial" w:cs="Arial"/>
          <w:sz w:val="20"/>
          <w:szCs w:val="20"/>
        </w:rPr>
        <w:lastRenderedPageBreak/>
        <w:t>is another prominent source of foreign currency.  When tourists visit Mt. Kilimanjaro or take a Safari, they leave Euros, Yen, and US Dollars behind.  Another avenue is through FDI.  As we explored earlier, SSA has a relatively small share of the world’s FDI</w:t>
      </w:r>
      <w:proofErr w:type="gramStart"/>
      <w:r w:rsidRPr="00574EA6">
        <w:rPr>
          <w:rFonts w:ascii="Arial" w:hAnsi="Arial" w:cs="Arial"/>
          <w:sz w:val="20"/>
          <w:szCs w:val="20"/>
        </w:rPr>
        <w:t>,  Finally</w:t>
      </w:r>
      <w:proofErr w:type="gramEnd"/>
      <w:r w:rsidRPr="00574EA6">
        <w:rPr>
          <w:rFonts w:ascii="Arial" w:hAnsi="Arial" w:cs="Arial"/>
          <w:sz w:val="20"/>
          <w:szCs w:val="20"/>
        </w:rPr>
        <w:t xml:space="preserve">, remittances are a source of foreign exchange.  Workers from abroad send money back to their families in the form of </w:t>
      </w:r>
      <w:proofErr w:type="spellStart"/>
      <w:r w:rsidRPr="00574EA6">
        <w:rPr>
          <w:rFonts w:ascii="Arial" w:hAnsi="Arial" w:cs="Arial"/>
          <w:sz w:val="20"/>
          <w:szCs w:val="20"/>
        </w:rPr>
        <w:t>Forex</w:t>
      </w:r>
      <w:proofErr w:type="spellEnd"/>
      <w:r w:rsidRPr="00574EA6">
        <w:rPr>
          <w:rFonts w:ascii="Arial" w:hAnsi="Arial" w:cs="Arial"/>
          <w:sz w:val="20"/>
          <w:szCs w:val="20"/>
        </w:rPr>
        <w:t>.</w:t>
      </w:r>
    </w:p>
    <w:p w:rsidR="00D36B68" w:rsidRPr="00574EA6" w:rsidRDefault="00D36B68" w:rsidP="00D36B68">
      <w:pPr>
        <w:rPr>
          <w:rFonts w:ascii="Arial" w:hAnsi="Arial" w:cs="Arial"/>
          <w:sz w:val="20"/>
          <w:szCs w:val="20"/>
        </w:rPr>
      </w:pPr>
      <w:r w:rsidRPr="00574EA6">
        <w:rPr>
          <w:rFonts w:ascii="Arial" w:hAnsi="Arial" w:cs="Arial"/>
          <w:sz w:val="20"/>
          <w:szCs w:val="20"/>
        </w:rPr>
        <w:t>Demand –</w:t>
      </w:r>
    </w:p>
    <w:p w:rsidR="00D36B68" w:rsidRPr="00574EA6" w:rsidRDefault="00D36B68" w:rsidP="00D36B68">
      <w:pPr>
        <w:rPr>
          <w:rFonts w:ascii="Arial" w:hAnsi="Arial" w:cs="Arial"/>
          <w:sz w:val="20"/>
          <w:szCs w:val="20"/>
        </w:rPr>
      </w:pPr>
      <w:r w:rsidRPr="00574EA6">
        <w:rPr>
          <w:rFonts w:ascii="Arial" w:hAnsi="Arial" w:cs="Arial"/>
          <w:sz w:val="20"/>
          <w:szCs w:val="20"/>
        </w:rPr>
        <w:t xml:space="preserve">Who demands foreign currency?  Imports are purchased in foreign currency, and many households hold </w:t>
      </w:r>
      <w:proofErr w:type="spellStart"/>
      <w:r w:rsidRPr="00574EA6">
        <w:rPr>
          <w:rFonts w:ascii="Arial" w:hAnsi="Arial" w:cs="Arial"/>
          <w:sz w:val="20"/>
          <w:szCs w:val="20"/>
        </w:rPr>
        <w:t>forex</w:t>
      </w:r>
      <w:proofErr w:type="spellEnd"/>
      <w:r w:rsidRPr="00574EA6">
        <w:rPr>
          <w:rFonts w:ascii="Arial" w:hAnsi="Arial" w:cs="Arial"/>
          <w:sz w:val="20"/>
          <w:szCs w:val="20"/>
        </w:rPr>
        <w:t xml:space="preserve"> as a form of savings.  Because US Dollars and other </w:t>
      </w:r>
      <w:proofErr w:type="spellStart"/>
      <w:r w:rsidRPr="00574EA6">
        <w:rPr>
          <w:rFonts w:ascii="Arial" w:hAnsi="Arial" w:cs="Arial"/>
          <w:sz w:val="20"/>
          <w:szCs w:val="20"/>
        </w:rPr>
        <w:t>forex</w:t>
      </w:r>
      <w:proofErr w:type="spellEnd"/>
      <w:r w:rsidRPr="00574EA6">
        <w:rPr>
          <w:rFonts w:ascii="Arial" w:hAnsi="Arial" w:cs="Arial"/>
          <w:sz w:val="20"/>
          <w:szCs w:val="20"/>
        </w:rPr>
        <w:t xml:space="preserve"> are relatively stable, they lose less value over time in the form of deflation.</w:t>
      </w:r>
    </w:p>
    <w:p w:rsidR="00C80E69" w:rsidRPr="00574EA6" w:rsidRDefault="00C80E69" w:rsidP="00C80E69">
      <w:pPr>
        <w:rPr>
          <w:rFonts w:ascii="Arial" w:hAnsi="Arial" w:cs="Arial"/>
          <w:sz w:val="20"/>
          <w:szCs w:val="20"/>
        </w:rPr>
      </w:pPr>
      <w:r w:rsidRPr="00574EA6">
        <w:rPr>
          <w:rFonts w:ascii="Arial" w:hAnsi="Arial" w:cs="Arial"/>
          <w:sz w:val="20"/>
          <w:szCs w:val="20"/>
        </w:rPr>
        <w:t>The basic assumption is that enhancing confidence,</w:t>
      </w:r>
    </w:p>
    <w:p w:rsidR="00C80E69" w:rsidRPr="00574EA6" w:rsidRDefault="00C80E69" w:rsidP="00C80E69">
      <w:pPr>
        <w:rPr>
          <w:rFonts w:ascii="Arial" w:hAnsi="Arial" w:cs="Arial"/>
          <w:sz w:val="20"/>
          <w:szCs w:val="20"/>
        </w:rPr>
      </w:pPr>
      <w:r w:rsidRPr="00574EA6">
        <w:rPr>
          <w:rFonts w:ascii="Arial" w:hAnsi="Arial" w:cs="Arial"/>
          <w:sz w:val="20"/>
          <w:szCs w:val="20"/>
        </w:rPr>
        <w:t xml:space="preserve"> </w:t>
      </w:r>
      <w:proofErr w:type="gramStart"/>
      <w:r w:rsidRPr="00574EA6">
        <w:rPr>
          <w:rFonts w:ascii="Arial" w:hAnsi="Arial" w:cs="Arial"/>
          <w:sz w:val="20"/>
          <w:szCs w:val="20"/>
        </w:rPr>
        <w:t>good</w:t>
      </w:r>
      <w:proofErr w:type="gramEnd"/>
      <w:r w:rsidRPr="00574EA6">
        <w:rPr>
          <w:rFonts w:ascii="Arial" w:hAnsi="Arial" w:cs="Arial"/>
          <w:sz w:val="20"/>
          <w:szCs w:val="20"/>
        </w:rPr>
        <w:t xml:space="preserve"> governance </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the</w:t>
      </w:r>
      <w:proofErr w:type="gramEnd"/>
      <w:r w:rsidRPr="00574EA6">
        <w:rPr>
          <w:rFonts w:ascii="Arial" w:hAnsi="Arial" w:cs="Arial"/>
          <w:sz w:val="20"/>
          <w:szCs w:val="20"/>
        </w:rPr>
        <w:t xml:space="preserve"> management of public goods </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political</w:t>
      </w:r>
      <w:proofErr w:type="gramEnd"/>
      <w:r w:rsidRPr="00574EA6">
        <w:rPr>
          <w:rFonts w:ascii="Arial" w:hAnsi="Arial" w:cs="Arial"/>
          <w:sz w:val="20"/>
          <w:szCs w:val="20"/>
        </w:rPr>
        <w:t xml:space="preserve"> alternation,</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regional</w:t>
      </w:r>
      <w:proofErr w:type="gramEnd"/>
      <w:r w:rsidRPr="00574EA6">
        <w:rPr>
          <w:rFonts w:ascii="Arial" w:hAnsi="Arial" w:cs="Arial"/>
          <w:sz w:val="20"/>
          <w:szCs w:val="20"/>
        </w:rPr>
        <w:t xml:space="preserve"> integration in Sub-Saharan Africa would </w:t>
      </w:r>
      <w:proofErr w:type="spellStart"/>
      <w:r w:rsidRPr="00574EA6">
        <w:rPr>
          <w:rFonts w:ascii="Arial" w:hAnsi="Arial" w:cs="Arial"/>
          <w:sz w:val="20"/>
          <w:szCs w:val="20"/>
        </w:rPr>
        <w:t>becomes</w:t>
      </w:r>
      <w:proofErr w:type="spellEnd"/>
      <w:r w:rsidRPr="00574EA6">
        <w:rPr>
          <w:rFonts w:ascii="Arial" w:hAnsi="Arial" w:cs="Arial"/>
          <w:sz w:val="20"/>
          <w:szCs w:val="20"/>
        </w:rPr>
        <w:t xml:space="preserve"> an instrument conducive to increased private</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investment</w:t>
      </w:r>
      <w:proofErr w:type="gramEnd"/>
      <w:r w:rsidRPr="00574EA6">
        <w:rPr>
          <w:rFonts w:ascii="Arial" w:hAnsi="Arial" w:cs="Arial"/>
          <w:sz w:val="20"/>
          <w:szCs w:val="20"/>
        </w:rPr>
        <w:t>. This assumption is premised on the theory</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that</w:t>
      </w:r>
      <w:proofErr w:type="gramEnd"/>
      <w:r w:rsidRPr="00574EA6">
        <w:rPr>
          <w:rFonts w:ascii="Arial" w:hAnsi="Arial" w:cs="Arial"/>
          <w:sz w:val="20"/>
          <w:szCs w:val="20"/>
        </w:rPr>
        <w:t xml:space="preserve"> regional integration creates a larger-economic space</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with</w:t>
      </w:r>
      <w:proofErr w:type="gramEnd"/>
      <w:r w:rsidRPr="00574EA6">
        <w:rPr>
          <w:rFonts w:ascii="Arial" w:hAnsi="Arial" w:cs="Arial"/>
          <w:sz w:val="20"/>
          <w:szCs w:val="20"/>
        </w:rPr>
        <w:t xml:space="preserve"> enlarged markets, promotes the harmonization of</w:t>
      </w:r>
    </w:p>
    <w:p w:rsidR="00C80E69" w:rsidRPr="00574EA6" w:rsidRDefault="00C80E69" w:rsidP="00C80E69">
      <w:pPr>
        <w:rPr>
          <w:rFonts w:ascii="Arial" w:hAnsi="Arial" w:cs="Arial"/>
          <w:sz w:val="20"/>
          <w:szCs w:val="20"/>
        </w:rPr>
      </w:pPr>
      <w:proofErr w:type="gramStart"/>
      <w:r w:rsidRPr="00574EA6">
        <w:rPr>
          <w:rFonts w:ascii="Arial" w:hAnsi="Arial" w:cs="Arial"/>
          <w:sz w:val="20"/>
          <w:szCs w:val="20"/>
        </w:rPr>
        <w:t>economic</w:t>
      </w:r>
      <w:proofErr w:type="gramEnd"/>
      <w:r w:rsidRPr="00574EA6">
        <w:rPr>
          <w:rFonts w:ascii="Arial" w:hAnsi="Arial" w:cs="Arial"/>
          <w:sz w:val="20"/>
          <w:szCs w:val="20"/>
        </w:rPr>
        <w:t xml:space="preserve"> and social policies, legalization and </w:t>
      </w:r>
      <w:proofErr w:type="spellStart"/>
      <w:r w:rsidRPr="00574EA6">
        <w:rPr>
          <w:rFonts w:ascii="Arial" w:hAnsi="Arial" w:cs="Arial"/>
          <w:sz w:val="20"/>
          <w:szCs w:val="20"/>
        </w:rPr>
        <w:t>institutionnalization</w:t>
      </w:r>
      <w:proofErr w:type="spellEnd"/>
      <w:r w:rsidRPr="00574EA6">
        <w:rPr>
          <w:rFonts w:ascii="Arial" w:hAnsi="Arial" w:cs="Arial"/>
          <w:sz w:val="20"/>
          <w:szCs w:val="20"/>
        </w:rPr>
        <w:t xml:space="preserve"> cooperative frameworks, and frees the mobility</w:t>
      </w:r>
    </w:p>
    <w:p w:rsidR="00D36B68" w:rsidRPr="00574EA6" w:rsidRDefault="00C80E69" w:rsidP="00C80E69">
      <w:pPr>
        <w:rPr>
          <w:rFonts w:ascii="Arial" w:hAnsi="Arial" w:cs="Arial"/>
          <w:sz w:val="20"/>
          <w:szCs w:val="20"/>
        </w:rPr>
      </w:pPr>
      <w:proofErr w:type="gramStart"/>
      <w:r w:rsidRPr="00574EA6">
        <w:rPr>
          <w:rFonts w:ascii="Arial" w:hAnsi="Arial" w:cs="Arial"/>
          <w:sz w:val="20"/>
          <w:szCs w:val="20"/>
        </w:rPr>
        <w:t>of</w:t>
      </w:r>
      <w:proofErr w:type="gramEnd"/>
      <w:r w:rsidRPr="00574EA6">
        <w:rPr>
          <w:rFonts w:ascii="Arial" w:hAnsi="Arial" w:cs="Arial"/>
          <w:sz w:val="20"/>
          <w:szCs w:val="20"/>
        </w:rPr>
        <w:t xml:space="preserve"> goods, capital and labor, among others</w:t>
      </w:r>
      <w:bookmarkStart w:id="0" w:name="_GoBack"/>
      <w:bookmarkEnd w:id="0"/>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p w:rsidR="00D36B68" w:rsidRPr="00574EA6" w:rsidRDefault="00D36B68">
      <w:pPr>
        <w:rPr>
          <w:rFonts w:ascii="Arial" w:hAnsi="Arial" w:cs="Arial"/>
          <w:sz w:val="20"/>
          <w:szCs w:val="20"/>
        </w:rPr>
      </w:pPr>
    </w:p>
    <w:sectPr w:rsidR="00D36B68" w:rsidRPr="0057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5E20"/>
    <w:multiLevelType w:val="hybridMultilevel"/>
    <w:tmpl w:val="7894528C"/>
    <w:lvl w:ilvl="0" w:tplc="2B5E2CE8">
      <w:start w:val="1"/>
      <w:numFmt w:val="bullet"/>
      <w:lvlText w:val="•"/>
      <w:lvlJc w:val="left"/>
      <w:pPr>
        <w:tabs>
          <w:tab w:val="num" w:pos="720"/>
        </w:tabs>
        <w:ind w:left="720" w:hanging="360"/>
      </w:pPr>
      <w:rPr>
        <w:rFonts w:ascii="Arial" w:hAnsi="Arial" w:hint="default"/>
      </w:rPr>
    </w:lvl>
    <w:lvl w:ilvl="1" w:tplc="2F72B02E">
      <w:start w:val="546"/>
      <w:numFmt w:val="bullet"/>
      <w:lvlText w:val="–"/>
      <w:lvlJc w:val="left"/>
      <w:pPr>
        <w:tabs>
          <w:tab w:val="num" w:pos="1440"/>
        </w:tabs>
        <w:ind w:left="1440" w:hanging="360"/>
      </w:pPr>
      <w:rPr>
        <w:rFonts w:ascii="Arial" w:hAnsi="Arial" w:hint="default"/>
      </w:rPr>
    </w:lvl>
    <w:lvl w:ilvl="2" w:tplc="42E46FD0" w:tentative="1">
      <w:start w:val="1"/>
      <w:numFmt w:val="bullet"/>
      <w:lvlText w:val="•"/>
      <w:lvlJc w:val="left"/>
      <w:pPr>
        <w:tabs>
          <w:tab w:val="num" w:pos="2160"/>
        </w:tabs>
        <w:ind w:left="2160" w:hanging="360"/>
      </w:pPr>
      <w:rPr>
        <w:rFonts w:ascii="Arial" w:hAnsi="Arial" w:hint="default"/>
      </w:rPr>
    </w:lvl>
    <w:lvl w:ilvl="3" w:tplc="1A36D25C" w:tentative="1">
      <w:start w:val="1"/>
      <w:numFmt w:val="bullet"/>
      <w:lvlText w:val="•"/>
      <w:lvlJc w:val="left"/>
      <w:pPr>
        <w:tabs>
          <w:tab w:val="num" w:pos="2880"/>
        </w:tabs>
        <w:ind w:left="2880" w:hanging="360"/>
      </w:pPr>
      <w:rPr>
        <w:rFonts w:ascii="Arial" w:hAnsi="Arial" w:hint="default"/>
      </w:rPr>
    </w:lvl>
    <w:lvl w:ilvl="4" w:tplc="894CBB06" w:tentative="1">
      <w:start w:val="1"/>
      <w:numFmt w:val="bullet"/>
      <w:lvlText w:val="•"/>
      <w:lvlJc w:val="left"/>
      <w:pPr>
        <w:tabs>
          <w:tab w:val="num" w:pos="3600"/>
        </w:tabs>
        <w:ind w:left="3600" w:hanging="360"/>
      </w:pPr>
      <w:rPr>
        <w:rFonts w:ascii="Arial" w:hAnsi="Arial" w:hint="default"/>
      </w:rPr>
    </w:lvl>
    <w:lvl w:ilvl="5" w:tplc="608A2A96" w:tentative="1">
      <w:start w:val="1"/>
      <w:numFmt w:val="bullet"/>
      <w:lvlText w:val="•"/>
      <w:lvlJc w:val="left"/>
      <w:pPr>
        <w:tabs>
          <w:tab w:val="num" w:pos="4320"/>
        </w:tabs>
        <w:ind w:left="4320" w:hanging="360"/>
      </w:pPr>
      <w:rPr>
        <w:rFonts w:ascii="Arial" w:hAnsi="Arial" w:hint="default"/>
      </w:rPr>
    </w:lvl>
    <w:lvl w:ilvl="6" w:tplc="4AB21A66" w:tentative="1">
      <w:start w:val="1"/>
      <w:numFmt w:val="bullet"/>
      <w:lvlText w:val="•"/>
      <w:lvlJc w:val="left"/>
      <w:pPr>
        <w:tabs>
          <w:tab w:val="num" w:pos="5040"/>
        </w:tabs>
        <w:ind w:left="5040" w:hanging="360"/>
      </w:pPr>
      <w:rPr>
        <w:rFonts w:ascii="Arial" w:hAnsi="Arial" w:hint="default"/>
      </w:rPr>
    </w:lvl>
    <w:lvl w:ilvl="7" w:tplc="3ED01FC2" w:tentative="1">
      <w:start w:val="1"/>
      <w:numFmt w:val="bullet"/>
      <w:lvlText w:val="•"/>
      <w:lvlJc w:val="left"/>
      <w:pPr>
        <w:tabs>
          <w:tab w:val="num" w:pos="5760"/>
        </w:tabs>
        <w:ind w:left="5760" w:hanging="360"/>
      </w:pPr>
      <w:rPr>
        <w:rFonts w:ascii="Arial" w:hAnsi="Arial" w:hint="default"/>
      </w:rPr>
    </w:lvl>
    <w:lvl w:ilvl="8" w:tplc="DE9EF0F0" w:tentative="1">
      <w:start w:val="1"/>
      <w:numFmt w:val="bullet"/>
      <w:lvlText w:val="•"/>
      <w:lvlJc w:val="left"/>
      <w:pPr>
        <w:tabs>
          <w:tab w:val="num" w:pos="6480"/>
        </w:tabs>
        <w:ind w:left="6480" w:hanging="360"/>
      </w:pPr>
      <w:rPr>
        <w:rFonts w:ascii="Arial" w:hAnsi="Arial" w:hint="default"/>
      </w:rPr>
    </w:lvl>
  </w:abstractNum>
  <w:abstractNum w:abstractNumId="1">
    <w:nsid w:val="1FA93C89"/>
    <w:multiLevelType w:val="hybridMultilevel"/>
    <w:tmpl w:val="363626C4"/>
    <w:lvl w:ilvl="0" w:tplc="8D8C9738">
      <w:start w:val="1"/>
      <w:numFmt w:val="bullet"/>
      <w:lvlText w:val="•"/>
      <w:lvlJc w:val="left"/>
      <w:pPr>
        <w:tabs>
          <w:tab w:val="num" w:pos="720"/>
        </w:tabs>
        <w:ind w:left="720" w:hanging="360"/>
      </w:pPr>
      <w:rPr>
        <w:rFonts w:ascii="Arial" w:hAnsi="Arial" w:hint="default"/>
      </w:rPr>
    </w:lvl>
    <w:lvl w:ilvl="1" w:tplc="AFFAA7E2">
      <w:start w:val="1"/>
      <w:numFmt w:val="bullet"/>
      <w:lvlText w:val="•"/>
      <w:lvlJc w:val="left"/>
      <w:pPr>
        <w:tabs>
          <w:tab w:val="num" w:pos="1440"/>
        </w:tabs>
        <w:ind w:left="1440" w:hanging="360"/>
      </w:pPr>
      <w:rPr>
        <w:rFonts w:ascii="Arial" w:hAnsi="Arial" w:hint="default"/>
      </w:rPr>
    </w:lvl>
    <w:lvl w:ilvl="2" w:tplc="31AE4D64" w:tentative="1">
      <w:start w:val="1"/>
      <w:numFmt w:val="bullet"/>
      <w:lvlText w:val="•"/>
      <w:lvlJc w:val="left"/>
      <w:pPr>
        <w:tabs>
          <w:tab w:val="num" w:pos="2160"/>
        </w:tabs>
        <w:ind w:left="2160" w:hanging="360"/>
      </w:pPr>
      <w:rPr>
        <w:rFonts w:ascii="Arial" w:hAnsi="Arial" w:hint="default"/>
      </w:rPr>
    </w:lvl>
    <w:lvl w:ilvl="3" w:tplc="50FAF68C" w:tentative="1">
      <w:start w:val="1"/>
      <w:numFmt w:val="bullet"/>
      <w:lvlText w:val="•"/>
      <w:lvlJc w:val="left"/>
      <w:pPr>
        <w:tabs>
          <w:tab w:val="num" w:pos="2880"/>
        </w:tabs>
        <w:ind w:left="2880" w:hanging="360"/>
      </w:pPr>
      <w:rPr>
        <w:rFonts w:ascii="Arial" w:hAnsi="Arial" w:hint="default"/>
      </w:rPr>
    </w:lvl>
    <w:lvl w:ilvl="4" w:tplc="E01EA296" w:tentative="1">
      <w:start w:val="1"/>
      <w:numFmt w:val="bullet"/>
      <w:lvlText w:val="•"/>
      <w:lvlJc w:val="left"/>
      <w:pPr>
        <w:tabs>
          <w:tab w:val="num" w:pos="3600"/>
        </w:tabs>
        <w:ind w:left="3600" w:hanging="360"/>
      </w:pPr>
      <w:rPr>
        <w:rFonts w:ascii="Arial" w:hAnsi="Arial" w:hint="default"/>
      </w:rPr>
    </w:lvl>
    <w:lvl w:ilvl="5" w:tplc="F710C6E8" w:tentative="1">
      <w:start w:val="1"/>
      <w:numFmt w:val="bullet"/>
      <w:lvlText w:val="•"/>
      <w:lvlJc w:val="left"/>
      <w:pPr>
        <w:tabs>
          <w:tab w:val="num" w:pos="4320"/>
        </w:tabs>
        <w:ind w:left="4320" w:hanging="360"/>
      </w:pPr>
      <w:rPr>
        <w:rFonts w:ascii="Arial" w:hAnsi="Arial" w:hint="default"/>
      </w:rPr>
    </w:lvl>
    <w:lvl w:ilvl="6" w:tplc="51D49F9E" w:tentative="1">
      <w:start w:val="1"/>
      <w:numFmt w:val="bullet"/>
      <w:lvlText w:val="•"/>
      <w:lvlJc w:val="left"/>
      <w:pPr>
        <w:tabs>
          <w:tab w:val="num" w:pos="5040"/>
        </w:tabs>
        <w:ind w:left="5040" w:hanging="360"/>
      </w:pPr>
      <w:rPr>
        <w:rFonts w:ascii="Arial" w:hAnsi="Arial" w:hint="default"/>
      </w:rPr>
    </w:lvl>
    <w:lvl w:ilvl="7" w:tplc="FB4E7DB8" w:tentative="1">
      <w:start w:val="1"/>
      <w:numFmt w:val="bullet"/>
      <w:lvlText w:val="•"/>
      <w:lvlJc w:val="left"/>
      <w:pPr>
        <w:tabs>
          <w:tab w:val="num" w:pos="5760"/>
        </w:tabs>
        <w:ind w:left="5760" w:hanging="360"/>
      </w:pPr>
      <w:rPr>
        <w:rFonts w:ascii="Arial" w:hAnsi="Arial" w:hint="default"/>
      </w:rPr>
    </w:lvl>
    <w:lvl w:ilvl="8" w:tplc="72382776" w:tentative="1">
      <w:start w:val="1"/>
      <w:numFmt w:val="bullet"/>
      <w:lvlText w:val="•"/>
      <w:lvlJc w:val="left"/>
      <w:pPr>
        <w:tabs>
          <w:tab w:val="num" w:pos="6480"/>
        </w:tabs>
        <w:ind w:left="6480" w:hanging="360"/>
      </w:pPr>
      <w:rPr>
        <w:rFonts w:ascii="Arial" w:hAnsi="Arial" w:hint="default"/>
      </w:rPr>
    </w:lvl>
  </w:abstractNum>
  <w:abstractNum w:abstractNumId="2">
    <w:nsid w:val="2B094157"/>
    <w:multiLevelType w:val="hybridMultilevel"/>
    <w:tmpl w:val="D77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A1CE9"/>
    <w:multiLevelType w:val="hybridMultilevel"/>
    <w:tmpl w:val="9FF632D0"/>
    <w:lvl w:ilvl="0" w:tplc="A9E0695A">
      <w:start w:val="1"/>
      <w:numFmt w:val="bullet"/>
      <w:lvlText w:val="-"/>
      <w:lvlJc w:val="left"/>
      <w:pPr>
        <w:tabs>
          <w:tab w:val="num" w:pos="720"/>
        </w:tabs>
        <w:ind w:left="720" w:hanging="360"/>
      </w:pPr>
      <w:rPr>
        <w:rFonts w:ascii="Times New Roman" w:hAnsi="Times New Roman" w:hint="default"/>
      </w:rPr>
    </w:lvl>
    <w:lvl w:ilvl="1" w:tplc="29D8AE3E" w:tentative="1">
      <w:start w:val="1"/>
      <w:numFmt w:val="bullet"/>
      <w:lvlText w:val="-"/>
      <w:lvlJc w:val="left"/>
      <w:pPr>
        <w:tabs>
          <w:tab w:val="num" w:pos="1440"/>
        </w:tabs>
        <w:ind w:left="1440" w:hanging="360"/>
      </w:pPr>
      <w:rPr>
        <w:rFonts w:ascii="Times New Roman" w:hAnsi="Times New Roman" w:hint="default"/>
      </w:rPr>
    </w:lvl>
    <w:lvl w:ilvl="2" w:tplc="054475D0" w:tentative="1">
      <w:start w:val="1"/>
      <w:numFmt w:val="bullet"/>
      <w:lvlText w:val="-"/>
      <w:lvlJc w:val="left"/>
      <w:pPr>
        <w:tabs>
          <w:tab w:val="num" w:pos="2160"/>
        </w:tabs>
        <w:ind w:left="2160" w:hanging="360"/>
      </w:pPr>
      <w:rPr>
        <w:rFonts w:ascii="Times New Roman" w:hAnsi="Times New Roman" w:hint="default"/>
      </w:rPr>
    </w:lvl>
    <w:lvl w:ilvl="3" w:tplc="36FA8D62" w:tentative="1">
      <w:start w:val="1"/>
      <w:numFmt w:val="bullet"/>
      <w:lvlText w:val="-"/>
      <w:lvlJc w:val="left"/>
      <w:pPr>
        <w:tabs>
          <w:tab w:val="num" w:pos="2880"/>
        </w:tabs>
        <w:ind w:left="2880" w:hanging="360"/>
      </w:pPr>
      <w:rPr>
        <w:rFonts w:ascii="Times New Roman" w:hAnsi="Times New Roman" w:hint="default"/>
      </w:rPr>
    </w:lvl>
    <w:lvl w:ilvl="4" w:tplc="597A2006" w:tentative="1">
      <w:start w:val="1"/>
      <w:numFmt w:val="bullet"/>
      <w:lvlText w:val="-"/>
      <w:lvlJc w:val="left"/>
      <w:pPr>
        <w:tabs>
          <w:tab w:val="num" w:pos="3600"/>
        </w:tabs>
        <w:ind w:left="3600" w:hanging="360"/>
      </w:pPr>
      <w:rPr>
        <w:rFonts w:ascii="Times New Roman" w:hAnsi="Times New Roman" w:hint="default"/>
      </w:rPr>
    </w:lvl>
    <w:lvl w:ilvl="5" w:tplc="EA72CF2E" w:tentative="1">
      <w:start w:val="1"/>
      <w:numFmt w:val="bullet"/>
      <w:lvlText w:val="-"/>
      <w:lvlJc w:val="left"/>
      <w:pPr>
        <w:tabs>
          <w:tab w:val="num" w:pos="4320"/>
        </w:tabs>
        <w:ind w:left="4320" w:hanging="360"/>
      </w:pPr>
      <w:rPr>
        <w:rFonts w:ascii="Times New Roman" w:hAnsi="Times New Roman" w:hint="default"/>
      </w:rPr>
    </w:lvl>
    <w:lvl w:ilvl="6" w:tplc="93FA5C12" w:tentative="1">
      <w:start w:val="1"/>
      <w:numFmt w:val="bullet"/>
      <w:lvlText w:val="-"/>
      <w:lvlJc w:val="left"/>
      <w:pPr>
        <w:tabs>
          <w:tab w:val="num" w:pos="5040"/>
        </w:tabs>
        <w:ind w:left="5040" w:hanging="360"/>
      </w:pPr>
      <w:rPr>
        <w:rFonts w:ascii="Times New Roman" w:hAnsi="Times New Roman" w:hint="default"/>
      </w:rPr>
    </w:lvl>
    <w:lvl w:ilvl="7" w:tplc="80D04F2A" w:tentative="1">
      <w:start w:val="1"/>
      <w:numFmt w:val="bullet"/>
      <w:lvlText w:val="-"/>
      <w:lvlJc w:val="left"/>
      <w:pPr>
        <w:tabs>
          <w:tab w:val="num" w:pos="5760"/>
        </w:tabs>
        <w:ind w:left="5760" w:hanging="360"/>
      </w:pPr>
      <w:rPr>
        <w:rFonts w:ascii="Times New Roman" w:hAnsi="Times New Roman" w:hint="default"/>
      </w:rPr>
    </w:lvl>
    <w:lvl w:ilvl="8" w:tplc="77428970" w:tentative="1">
      <w:start w:val="1"/>
      <w:numFmt w:val="bullet"/>
      <w:lvlText w:val="-"/>
      <w:lvlJc w:val="left"/>
      <w:pPr>
        <w:tabs>
          <w:tab w:val="num" w:pos="6480"/>
        </w:tabs>
        <w:ind w:left="6480" w:hanging="360"/>
      </w:pPr>
      <w:rPr>
        <w:rFonts w:ascii="Times New Roman" w:hAnsi="Times New Roman" w:hint="default"/>
      </w:rPr>
    </w:lvl>
  </w:abstractNum>
  <w:abstractNum w:abstractNumId="4">
    <w:nsid w:val="429F126B"/>
    <w:multiLevelType w:val="hybridMultilevel"/>
    <w:tmpl w:val="7328361C"/>
    <w:lvl w:ilvl="0" w:tplc="43D25DDE">
      <w:start w:val="1"/>
      <w:numFmt w:val="bullet"/>
      <w:lvlText w:val="•"/>
      <w:lvlJc w:val="left"/>
      <w:pPr>
        <w:tabs>
          <w:tab w:val="num" w:pos="720"/>
        </w:tabs>
        <w:ind w:left="720" w:hanging="360"/>
      </w:pPr>
      <w:rPr>
        <w:rFonts w:ascii="Arial" w:hAnsi="Arial" w:hint="default"/>
      </w:rPr>
    </w:lvl>
    <w:lvl w:ilvl="1" w:tplc="8572E84E">
      <w:start w:val="1224"/>
      <w:numFmt w:val="bullet"/>
      <w:lvlText w:val="–"/>
      <w:lvlJc w:val="left"/>
      <w:pPr>
        <w:tabs>
          <w:tab w:val="num" w:pos="1440"/>
        </w:tabs>
        <w:ind w:left="1440" w:hanging="360"/>
      </w:pPr>
      <w:rPr>
        <w:rFonts w:ascii="Arial" w:hAnsi="Arial" w:hint="default"/>
      </w:rPr>
    </w:lvl>
    <w:lvl w:ilvl="2" w:tplc="98F0A574" w:tentative="1">
      <w:start w:val="1"/>
      <w:numFmt w:val="bullet"/>
      <w:lvlText w:val="•"/>
      <w:lvlJc w:val="left"/>
      <w:pPr>
        <w:tabs>
          <w:tab w:val="num" w:pos="2160"/>
        </w:tabs>
        <w:ind w:left="2160" w:hanging="360"/>
      </w:pPr>
      <w:rPr>
        <w:rFonts w:ascii="Arial" w:hAnsi="Arial" w:hint="default"/>
      </w:rPr>
    </w:lvl>
    <w:lvl w:ilvl="3" w:tplc="FE5EFBFE" w:tentative="1">
      <w:start w:val="1"/>
      <w:numFmt w:val="bullet"/>
      <w:lvlText w:val="•"/>
      <w:lvlJc w:val="left"/>
      <w:pPr>
        <w:tabs>
          <w:tab w:val="num" w:pos="2880"/>
        </w:tabs>
        <w:ind w:left="2880" w:hanging="360"/>
      </w:pPr>
      <w:rPr>
        <w:rFonts w:ascii="Arial" w:hAnsi="Arial" w:hint="default"/>
      </w:rPr>
    </w:lvl>
    <w:lvl w:ilvl="4" w:tplc="FAA6368A" w:tentative="1">
      <w:start w:val="1"/>
      <w:numFmt w:val="bullet"/>
      <w:lvlText w:val="•"/>
      <w:lvlJc w:val="left"/>
      <w:pPr>
        <w:tabs>
          <w:tab w:val="num" w:pos="3600"/>
        </w:tabs>
        <w:ind w:left="3600" w:hanging="360"/>
      </w:pPr>
      <w:rPr>
        <w:rFonts w:ascii="Arial" w:hAnsi="Arial" w:hint="default"/>
      </w:rPr>
    </w:lvl>
    <w:lvl w:ilvl="5" w:tplc="9D30C334" w:tentative="1">
      <w:start w:val="1"/>
      <w:numFmt w:val="bullet"/>
      <w:lvlText w:val="•"/>
      <w:lvlJc w:val="left"/>
      <w:pPr>
        <w:tabs>
          <w:tab w:val="num" w:pos="4320"/>
        </w:tabs>
        <w:ind w:left="4320" w:hanging="360"/>
      </w:pPr>
      <w:rPr>
        <w:rFonts w:ascii="Arial" w:hAnsi="Arial" w:hint="default"/>
      </w:rPr>
    </w:lvl>
    <w:lvl w:ilvl="6" w:tplc="3D369994" w:tentative="1">
      <w:start w:val="1"/>
      <w:numFmt w:val="bullet"/>
      <w:lvlText w:val="•"/>
      <w:lvlJc w:val="left"/>
      <w:pPr>
        <w:tabs>
          <w:tab w:val="num" w:pos="5040"/>
        </w:tabs>
        <w:ind w:left="5040" w:hanging="360"/>
      </w:pPr>
      <w:rPr>
        <w:rFonts w:ascii="Arial" w:hAnsi="Arial" w:hint="default"/>
      </w:rPr>
    </w:lvl>
    <w:lvl w:ilvl="7" w:tplc="38CC3F8E" w:tentative="1">
      <w:start w:val="1"/>
      <w:numFmt w:val="bullet"/>
      <w:lvlText w:val="•"/>
      <w:lvlJc w:val="left"/>
      <w:pPr>
        <w:tabs>
          <w:tab w:val="num" w:pos="5760"/>
        </w:tabs>
        <w:ind w:left="5760" w:hanging="360"/>
      </w:pPr>
      <w:rPr>
        <w:rFonts w:ascii="Arial" w:hAnsi="Arial" w:hint="default"/>
      </w:rPr>
    </w:lvl>
    <w:lvl w:ilvl="8" w:tplc="A0FA0E02" w:tentative="1">
      <w:start w:val="1"/>
      <w:numFmt w:val="bullet"/>
      <w:lvlText w:val="•"/>
      <w:lvlJc w:val="left"/>
      <w:pPr>
        <w:tabs>
          <w:tab w:val="num" w:pos="6480"/>
        </w:tabs>
        <w:ind w:left="6480" w:hanging="360"/>
      </w:pPr>
      <w:rPr>
        <w:rFonts w:ascii="Arial" w:hAnsi="Arial" w:hint="default"/>
      </w:rPr>
    </w:lvl>
  </w:abstractNum>
  <w:abstractNum w:abstractNumId="5">
    <w:nsid w:val="75C732F3"/>
    <w:multiLevelType w:val="hybridMultilevel"/>
    <w:tmpl w:val="AA1EEAD2"/>
    <w:lvl w:ilvl="0" w:tplc="196233E2">
      <w:start w:val="1"/>
      <w:numFmt w:val="bullet"/>
      <w:lvlText w:val="•"/>
      <w:lvlJc w:val="left"/>
      <w:pPr>
        <w:tabs>
          <w:tab w:val="num" w:pos="720"/>
        </w:tabs>
        <w:ind w:left="720" w:hanging="360"/>
      </w:pPr>
      <w:rPr>
        <w:rFonts w:ascii="Arial" w:hAnsi="Arial" w:hint="default"/>
      </w:rPr>
    </w:lvl>
    <w:lvl w:ilvl="1" w:tplc="F566CEB8" w:tentative="1">
      <w:start w:val="1"/>
      <w:numFmt w:val="bullet"/>
      <w:lvlText w:val="•"/>
      <w:lvlJc w:val="left"/>
      <w:pPr>
        <w:tabs>
          <w:tab w:val="num" w:pos="1440"/>
        </w:tabs>
        <w:ind w:left="1440" w:hanging="360"/>
      </w:pPr>
      <w:rPr>
        <w:rFonts w:ascii="Arial" w:hAnsi="Arial" w:hint="default"/>
      </w:rPr>
    </w:lvl>
    <w:lvl w:ilvl="2" w:tplc="E08026C2" w:tentative="1">
      <w:start w:val="1"/>
      <w:numFmt w:val="bullet"/>
      <w:lvlText w:val="•"/>
      <w:lvlJc w:val="left"/>
      <w:pPr>
        <w:tabs>
          <w:tab w:val="num" w:pos="2160"/>
        </w:tabs>
        <w:ind w:left="2160" w:hanging="360"/>
      </w:pPr>
      <w:rPr>
        <w:rFonts w:ascii="Arial" w:hAnsi="Arial" w:hint="default"/>
      </w:rPr>
    </w:lvl>
    <w:lvl w:ilvl="3" w:tplc="561A8BB0" w:tentative="1">
      <w:start w:val="1"/>
      <w:numFmt w:val="bullet"/>
      <w:lvlText w:val="•"/>
      <w:lvlJc w:val="left"/>
      <w:pPr>
        <w:tabs>
          <w:tab w:val="num" w:pos="2880"/>
        </w:tabs>
        <w:ind w:left="2880" w:hanging="360"/>
      </w:pPr>
      <w:rPr>
        <w:rFonts w:ascii="Arial" w:hAnsi="Arial" w:hint="default"/>
      </w:rPr>
    </w:lvl>
    <w:lvl w:ilvl="4" w:tplc="81BCA752" w:tentative="1">
      <w:start w:val="1"/>
      <w:numFmt w:val="bullet"/>
      <w:lvlText w:val="•"/>
      <w:lvlJc w:val="left"/>
      <w:pPr>
        <w:tabs>
          <w:tab w:val="num" w:pos="3600"/>
        </w:tabs>
        <w:ind w:left="3600" w:hanging="360"/>
      </w:pPr>
      <w:rPr>
        <w:rFonts w:ascii="Arial" w:hAnsi="Arial" w:hint="default"/>
      </w:rPr>
    </w:lvl>
    <w:lvl w:ilvl="5" w:tplc="8AF419A0" w:tentative="1">
      <w:start w:val="1"/>
      <w:numFmt w:val="bullet"/>
      <w:lvlText w:val="•"/>
      <w:lvlJc w:val="left"/>
      <w:pPr>
        <w:tabs>
          <w:tab w:val="num" w:pos="4320"/>
        </w:tabs>
        <w:ind w:left="4320" w:hanging="360"/>
      </w:pPr>
      <w:rPr>
        <w:rFonts w:ascii="Arial" w:hAnsi="Arial" w:hint="default"/>
      </w:rPr>
    </w:lvl>
    <w:lvl w:ilvl="6" w:tplc="52A28ABA" w:tentative="1">
      <w:start w:val="1"/>
      <w:numFmt w:val="bullet"/>
      <w:lvlText w:val="•"/>
      <w:lvlJc w:val="left"/>
      <w:pPr>
        <w:tabs>
          <w:tab w:val="num" w:pos="5040"/>
        </w:tabs>
        <w:ind w:left="5040" w:hanging="360"/>
      </w:pPr>
      <w:rPr>
        <w:rFonts w:ascii="Arial" w:hAnsi="Arial" w:hint="default"/>
      </w:rPr>
    </w:lvl>
    <w:lvl w:ilvl="7" w:tplc="AD10B52C" w:tentative="1">
      <w:start w:val="1"/>
      <w:numFmt w:val="bullet"/>
      <w:lvlText w:val="•"/>
      <w:lvlJc w:val="left"/>
      <w:pPr>
        <w:tabs>
          <w:tab w:val="num" w:pos="5760"/>
        </w:tabs>
        <w:ind w:left="5760" w:hanging="360"/>
      </w:pPr>
      <w:rPr>
        <w:rFonts w:ascii="Arial" w:hAnsi="Arial" w:hint="default"/>
      </w:rPr>
    </w:lvl>
    <w:lvl w:ilvl="8" w:tplc="F78A18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B78"/>
    <w:rsid w:val="00164747"/>
    <w:rsid w:val="001B7B78"/>
    <w:rsid w:val="0024776E"/>
    <w:rsid w:val="00574EA6"/>
    <w:rsid w:val="00675252"/>
    <w:rsid w:val="008B2976"/>
    <w:rsid w:val="00C54700"/>
    <w:rsid w:val="00C80E69"/>
    <w:rsid w:val="00D36B68"/>
    <w:rsid w:val="00E7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7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7B78"/>
    <w:pPr>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7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7B78"/>
    <w:pPr>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4998">
      <w:bodyDiv w:val="1"/>
      <w:marLeft w:val="0"/>
      <w:marRight w:val="0"/>
      <w:marTop w:val="0"/>
      <w:marBottom w:val="0"/>
      <w:divBdr>
        <w:top w:val="none" w:sz="0" w:space="0" w:color="auto"/>
        <w:left w:val="none" w:sz="0" w:space="0" w:color="auto"/>
        <w:bottom w:val="none" w:sz="0" w:space="0" w:color="auto"/>
        <w:right w:val="none" w:sz="0" w:space="0" w:color="auto"/>
      </w:divBdr>
    </w:div>
    <w:div w:id="125970232">
      <w:bodyDiv w:val="1"/>
      <w:marLeft w:val="0"/>
      <w:marRight w:val="0"/>
      <w:marTop w:val="0"/>
      <w:marBottom w:val="0"/>
      <w:divBdr>
        <w:top w:val="none" w:sz="0" w:space="0" w:color="auto"/>
        <w:left w:val="none" w:sz="0" w:space="0" w:color="auto"/>
        <w:bottom w:val="none" w:sz="0" w:space="0" w:color="auto"/>
        <w:right w:val="none" w:sz="0" w:space="0" w:color="auto"/>
      </w:divBdr>
      <w:divsChild>
        <w:div w:id="846675317">
          <w:marLeft w:val="274"/>
          <w:marRight w:val="0"/>
          <w:marTop w:val="0"/>
          <w:marBottom w:val="0"/>
          <w:divBdr>
            <w:top w:val="none" w:sz="0" w:space="0" w:color="auto"/>
            <w:left w:val="none" w:sz="0" w:space="0" w:color="auto"/>
            <w:bottom w:val="none" w:sz="0" w:space="0" w:color="auto"/>
            <w:right w:val="none" w:sz="0" w:space="0" w:color="auto"/>
          </w:divBdr>
        </w:div>
        <w:div w:id="248276886">
          <w:marLeft w:val="274"/>
          <w:marRight w:val="0"/>
          <w:marTop w:val="0"/>
          <w:marBottom w:val="0"/>
          <w:divBdr>
            <w:top w:val="none" w:sz="0" w:space="0" w:color="auto"/>
            <w:left w:val="none" w:sz="0" w:space="0" w:color="auto"/>
            <w:bottom w:val="none" w:sz="0" w:space="0" w:color="auto"/>
            <w:right w:val="none" w:sz="0" w:space="0" w:color="auto"/>
          </w:divBdr>
        </w:div>
        <w:div w:id="563419755">
          <w:marLeft w:val="274"/>
          <w:marRight w:val="0"/>
          <w:marTop w:val="0"/>
          <w:marBottom w:val="0"/>
          <w:divBdr>
            <w:top w:val="none" w:sz="0" w:space="0" w:color="auto"/>
            <w:left w:val="none" w:sz="0" w:space="0" w:color="auto"/>
            <w:bottom w:val="none" w:sz="0" w:space="0" w:color="auto"/>
            <w:right w:val="none" w:sz="0" w:space="0" w:color="auto"/>
          </w:divBdr>
        </w:div>
      </w:divsChild>
    </w:div>
    <w:div w:id="131485518">
      <w:bodyDiv w:val="1"/>
      <w:marLeft w:val="0"/>
      <w:marRight w:val="0"/>
      <w:marTop w:val="0"/>
      <w:marBottom w:val="0"/>
      <w:divBdr>
        <w:top w:val="none" w:sz="0" w:space="0" w:color="auto"/>
        <w:left w:val="none" w:sz="0" w:space="0" w:color="auto"/>
        <w:bottom w:val="none" w:sz="0" w:space="0" w:color="auto"/>
        <w:right w:val="none" w:sz="0" w:space="0" w:color="auto"/>
      </w:divBdr>
    </w:div>
    <w:div w:id="206453978">
      <w:bodyDiv w:val="1"/>
      <w:marLeft w:val="0"/>
      <w:marRight w:val="0"/>
      <w:marTop w:val="0"/>
      <w:marBottom w:val="0"/>
      <w:divBdr>
        <w:top w:val="none" w:sz="0" w:space="0" w:color="auto"/>
        <w:left w:val="none" w:sz="0" w:space="0" w:color="auto"/>
        <w:bottom w:val="none" w:sz="0" w:space="0" w:color="auto"/>
        <w:right w:val="none" w:sz="0" w:space="0" w:color="auto"/>
      </w:divBdr>
      <w:divsChild>
        <w:div w:id="1105155942">
          <w:marLeft w:val="547"/>
          <w:marRight w:val="0"/>
          <w:marTop w:val="115"/>
          <w:marBottom w:val="0"/>
          <w:divBdr>
            <w:top w:val="none" w:sz="0" w:space="0" w:color="auto"/>
            <w:left w:val="none" w:sz="0" w:space="0" w:color="auto"/>
            <w:bottom w:val="none" w:sz="0" w:space="0" w:color="auto"/>
            <w:right w:val="none" w:sz="0" w:space="0" w:color="auto"/>
          </w:divBdr>
        </w:div>
        <w:div w:id="192882658">
          <w:marLeft w:val="547"/>
          <w:marRight w:val="0"/>
          <w:marTop w:val="115"/>
          <w:marBottom w:val="0"/>
          <w:divBdr>
            <w:top w:val="none" w:sz="0" w:space="0" w:color="auto"/>
            <w:left w:val="none" w:sz="0" w:space="0" w:color="auto"/>
            <w:bottom w:val="none" w:sz="0" w:space="0" w:color="auto"/>
            <w:right w:val="none" w:sz="0" w:space="0" w:color="auto"/>
          </w:divBdr>
        </w:div>
      </w:divsChild>
    </w:div>
    <w:div w:id="218173369">
      <w:bodyDiv w:val="1"/>
      <w:marLeft w:val="0"/>
      <w:marRight w:val="0"/>
      <w:marTop w:val="0"/>
      <w:marBottom w:val="0"/>
      <w:divBdr>
        <w:top w:val="none" w:sz="0" w:space="0" w:color="auto"/>
        <w:left w:val="none" w:sz="0" w:space="0" w:color="auto"/>
        <w:bottom w:val="none" w:sz="0" w:space="0" w:color="auto"/>
        <w:right w:val="none" w:sz="0" w:space="0" w:color="auto"/>
      </w:divBdr>
    </w:div>
    <w:div w:id="497499318">
      <w:bodyDiv w:val="1"/>
      <w:marLeft w:val="0"/>
      <w:marRight w:val="0"/>
      <w:marTop w:val="0"/>
      <w:marBottom w:val="0"/>
      <w:divBdr>
        <w:top w:val="none" w:sz="0" w:space="0" w:color="auto"/>
        <w:left w:val="none" w:sz="0" w:space="0" w:color="auto"/>
        <w:bottom w:val="none" w:sz="0" w:space="0" w:color="auto"/>
        <w:right w:val="none" w:sz="0" w:space="0" w:color="auto"/>
      </w:divBdr>
      <w:divsChild>
        <w:div w:id="1526675532">
          <w:marLeft w:val="1267"/>
          <w:marRight w:val="0"/>
          <w:marTop w:val="0"/>
          <w:marBottom w:val="0"/>
          <w:divBdr>
            <w:top w:val="none" w:sz="0" w:space="0" w:color="auto"/>
            <w:left w:val="none" w:sz="0" w:space="0" w:color="auto"/>
            <w:bottom w:val="none" w:sz="0" w:space="0" w:color="auto"/>
            <w:right w:val="none" w:sz="0" w:space="0" w:color="auto"/>
          </w:divBdr>
        </w:div>
        <w:div w:id="1382285681">
          <w:marLeft w:val="1267"/>
          <w:marRight w:val="0"/>
          <w:marTop w:val="0"/>
          <w:marBottom w:val="0"/>
          <w:divBdr>
            <w:top w:val="none" w:sz="0" w:space="0" w:color="auto"/>
            <w:left w:val="none" w:sz="0" w:space="0" w:color="auto"/>
            <w:bottom w:val="none" w:sz="0" w:space="0" w:color="auto"/>
            <w:right w:val="none" w:sz="0" w:space="0" w:color="auto"/>
          </w:divBdr>
        </w:div>
        <w:div w:id="1998415637">
          <w:marLeft w:val="1267"/>
          <w:marRight w:val="0"/>
          <w:marTop w:val="0"/>
          <w:marBottom w:val="0"/>
          <w:divBdr>
            <w:top w:val="none" w:sz="0" w:space="0" w:color="auto"/>
            <w:left w:val="none" w:sz="0" w:space="0" w:color="auto"/>
            <w:bottom w:val="none" w:sz="0" w:space="0" w:color="auto"/>
            <w:right w:val="none" w:sz="0" w:space="0" w:color="auto"/>
          </w:divBdr>
        </w:div>
        <w:div w:id="1532188801">
          <w:marLeft w:val="1267"/>
          <w:marRight w:val="0"/>
          <w:marTop w:val="0"/>
          <w:marBottom w:val="0"/>
          <w:divBdr>
            <w:top w:val="none" w:sz="0" w:space="0" w:color="auto"/>
            <w:left w:val="none" w:sz="0" w:space="0" w:color="auto"/>
            <w:bottom w:val="none" w:sz="0" w:space="0" w:color="auto"/>
            <w:right w:val="none" w:sz="0" w:space="0" w:color="auto"/>
          </w:divBdr>
        </w:div>
        <w:div w:id="122039367">
          <w:marLeft w:val="1267"/>
          <w:marRight w:val="0"/>
          <w:marTop w:val="0"/>
          <w:marBottom w:val="0"/>
          <w:divBdr>
            <w:top w:val="none" w:sz="0" w:space="0" w:color="auto"/>
            <w:left w:val="none" w:sz="0" w:space="0" w:color="auto"/>
            <w:bottom w:val="none" w:sz="0" w:space="0" w:color="auto"/>
            <w:right w:val="none" w:sz="0" w:space="0" w:color="auto"/>
          </w:divBdr>
        </w:div>
        <w:div w:id="1583028737">
          <w:marLeft w:val="1267"/>
          <w:marRight w:val="0"/>
          <w:marTop w:val="0"/>
          <w:marBottom w:val="0"/>
          <w:divBdr>
            <w:top w:val="none" w:sz="0" w:space="0" w:color="auto"/>
            <w:left w:val="none" w:sz="0" w:space="0" w:color="auto"/>
            <w:bottom w:val="none" w:sz="0" w:space="0" w:color="auto"/>
            <w:right w:val="none" w:sz="0" w:space="0" w:color="auto"/>
          </w:divBdr>
        </w:div>
        <w:div w:id="1953123692">
          <w:marLeft w:val="1267"/>
          <w:marRight w:val="0"/>
          <w:marTop w:val="0"/>
          <w:marBottom w:val="0"/>
          <w:divBdr>
            <w:top w:val="none" w:sz="0" w:space="0" w:color="auto"/>
            <w:left w:val="none" w:sz="0" w:space="0" w:color="auto"/>
            <w:bottom w:val="none" w:sz="0" w:space="0" w:color="auto"/>
            <w:right w:val="none" w:sz="0" w:space="0" w:color="auto"/>
          </w:divBdr>
        </w:div>
        <w:div w:id="569272876">
          <w:marLeft w:val="1267"/>
          <w:marRight w:val="0"/>
          <w:marTop w:val="0"/>
          <w:marBottom w:val="0"/>
          <w:divBdr>
            <w:top w:val="none" w:sz="0" w:space="0" w:color="auto"/>
            <w:left w:val="none" w:sz="0" w:space="0" w:color="auto"/>
            <w:bottom w:val="none" w:sz="0" w:space="0" w:color="auto"/>
            <w:right w:val="none" w:sz="0" w:space="0" w:color="auto"/>
          </w:divBdr>
        </w:div>
        <w:div w:id="1529291736">
          <w:marLeft w:val="1267"/>
          <w:marRight w:val="0"/>
          <w:marTop w:val="0"/>
          <w:marBottom w:val="0"/>
          <w:divBdr>
            <w:top w:val="none" w:sz="0" w:space="0" w:color="auto"/>
            <w:left w:val="none" w:sz="0" w:space="0" w:color="auto"/>
            <w:bottom w:val="none" w:sz="0" w:space="0" w:color="auto"/>
            <w:right w:val="none" w:sz="0" w:space="0" w:color="auto"/>
          </w:divBdr>
        </w:div>
      </w:divsChild>
    </w:div>
    <w:div w:id="928582354">
      <w:bodyDiv w:val="1"/>
      <w:marLeft w:val="0"/>
      <w:marRight w:val="0"/>
      <w:marTop w:val="0"/>
      <w:marBottom w:val="0"/>
      <w:divBdr>
        <w:top w:val="none" w:sz="0" w:space="0" w:color="auto"/>
        <w:left w:val="none" w:sz="0" w:space="0" w:color="auto"/>
        <w:bottom w:val="none" w:sz="0" w:space="0" w:color="auto"/>
        <w:right w:val="none" w:sz="0" w:space="0" w:color="auto"/>
      </w:divBdr>
      <w:divsChild>
        <w:div w:id="1303121019">
          <w:marLeft w:val="547"/>
          <w:marRight w:val="0"/>
          <w:marTop w:val="115"/>
          <w:marBottom w:val="0"/>
          <w:divBdr>
            <w:top w:val="none" w:sz="0" w:space="0" w:color="auto"/>
            <w:left w:val="none" w:sz="0" w:space="0" w:color="auto"/>
            <w:bottom w:val="none" w:sz="0" w:space="0" w:color="auto"/>
            <w:right w:val="none" w:sz="0" w:space="0" w:color="auto"/>
          </w:divBdr>
        </w:div>
        <w:div w:id="1090153023">
          <w:marLeft w:val="547"/>
          <w:marRight w:val="0"/>
          <w:marTop w:val="115"/>
          <w:marBottom w:val="0"/>
          <w:divBdr>
            <w:top w:val="none" w:sz="0" w:space="0" w:color="auto"/>
            <w:left w:val="none" w:sz="0" w:space="0" w:color="auto"/>
            <w:bottom w:val="none" w:sz="0" w:space="0" w:color="auto"/>
            <w:right w:val="none" w:sz="0" w:space="0" w:color="auto"/>
          </w:divBdr>
        </w:div>
        <w:div w:id="151142333">
          <w:marLeft w:val="1166"/>
          <w:marRight w:val="0"/>
          <w:marTop w:val="96"/>
          <w:marBottom w:val="0"/>
          <w:divBdr>
            <w:top w:val="none" w:sz="0" w:space="0" w:color="auto"/>
            <w:left w:val="none" w:sz="0" w:space="0" w:color="auto"/>
            <w:bottom w:val="none" w:sz="0" w:space="0" w:color="auto"/>
            <w:right w:val="none" w:sz="0" w:space="0" w:color="auto"/>
          </w:divBdr>
        </w:div>
        <w:div w:id="22630419">
          <w:marLeft w:val="1166"/>
          <w:marRight w:val="0"/>
          <w:marTop w:val="96"/>
          <w:marBottom w:val="0"/>
          <w:divBdr>
            <w:top w:val="none" w:sz="0" w:space="0" w:color="auto"/>
            <w:left w:val="none" w:sz="0" w:space="0" w:color="auto"/>
            <w:bottom w:val="none" w:sz="0" w:space="0" w:color="auto"/>
            <w:right w:val="none" w:sz="0" w:space="0" w:color="auto"/>
          </w:divBdr>
        </w:div>
        <w:div w:id="570888092">
          <w:marLeft w:val="1166"/>
          <w:marRight w:val="0"/>
          <w:marTop w:val="96"/>
          <w:marBottom w:val="0"/>
          <w:divBdr>
            <w:top w:val="none" w:sz="0" w:space="0" w:color="auto"/>
            <w:left w:val="none" w:sz="0" w:space="0" w:color="auto"/>
            <w:bottom w:val="none" w:sz="0" w:space="0" w:color="auto"/>
            <w:right w:val="none" w:sz="0" w:space="0" w:color="auto"/>
          </w:divBdr>
        </w:div>
        <w:div w:id="1566526315">
          <w:marLeft w:val="1166"/>
          <w:marRight w:val="0"/>
          <w:marTop w:val="96"/>
          <w:marBottom w:val="0"/>
          <w:divBdr>
            <w:top w:val="none" w:sz="0" w:space="0" w:color="auto"/>
            <w:left w:val="none" w:sz="0" w:space="0" w:color="auto"/>
            <w:bottom w:val="none" w:sz="0" w:space="0" w:color="auto"/>
            <w:right w:val="none" w:sz="0" w:space="0" w:color="auto"/>
          </w:divBdr>
        </w:div>
        <w:div w:id="218708147">
          <w:marLeft w:val="1166"/>
          <w:marRight w:val="0"/>
          <w:marTop w:val="96"/>
          <w:marBottom w:val="0"/>
          <w:divBdr>
            <w:top w:val="none" w:sz="0" w:space="0" w:color="auto"/>
            <w:left w:val="none" w:sz="0" w:space="0" w:color="auto"/>
            <w:bottom w:val="none" w:sz="0" w:space="0" w:color="auto"/>
            <w:right w:val="none" w:sz="0" w:space="0" w:color="auto"/>
          </w:divBdr>
        </w:div>
        <w:div w:id="1345090489">
          <w:marLeft w:val="1166"/>
          <w:marRight w:val="0"/>
          <w:marTop w:val="96"/>
          <w:marBottom w:val="0"/>
          <w:divBdr>
            <w:top w:val="none" w:sz="0" w:space="0" w:color="auto"/>
            <w:left w:val="none" w:sz="0" w:space="0" w:color="auto"/>
            <w:bottom w:val="none" w:sz="0" w:space="0" w:color="auto"/>
            <w:right w:val="none" w:sz="0" w:space="0" w:color="auto"/>
          </w:divBdr>
        </w:div>
      </w:divsChild>
    </w:div>
    <w:div w:id="1615090430">
      <w:bodyDiv w:val="1"/>
      <w:marLeft w:val="0"/>
      <w:marRight w:val="0"/>
      <w:marTop w:val="0"/>
      <w:marBottom w:val="0"/>
      <w:divBdr>
        <w:top w:val="none" w:sz="0" w:space="0" w:color="auto"/>
        <w:left w:val="none" w:sz="0" w:space="0" w:color="auto"/>
        <w:bottom w:val="none" w:sz="0" w:space="0" w:color="auto"/>
        <w:right w:val="none" w:sz="0" w:space="0" w:color="auto"/>
      </w:divBdr>
    </w:div>
    <w:div w:id="16886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FS2\JDRIVE\SHAHIDUR\Copy%20of%20TradeRestrictiveness_2008%20(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The ease of doing business (2011) </a:t>
            </a:r>
          </a:p>
        </c:rich>
      </c:tx>
      <c:layout>
        <c:manualLayout>
          <c:xMode val="edge"/>
          <c:yMode val="edge"/>
          <c:x val="0.13767351997666957"/>
          <c:y val="2.8257164060851814E-2"/>
        </c:manualLayout>
      </c:layout>
      <c:overlay val="0"/>
    </c:title>
    <c:autoTitleDeleted val="0"/>
    <c:plotArea>
      <c:layout/>
      <c:barChart>
        <c:barDir val="col"/>
        <c:grouping val="clustered"/>
        <c:varyColors val="0"/>
        <c:ser>
          <c:idx val="3"/>
          <c:order val="0"/>
          <c:tx>
            <c:strRef>
              <c:f>'doing busineses'!$F$1</c:f>
              <c:strCache>
                <c:ptCount val="1"/>
                <c:pt idx="0">
                  <c:v>The ease of doing busineses (2011) </c:v>
                </c:pt>
              </c:strCache>
            </c:strRef>
          </c:tx>
          <c:spPr>
            <a:solidFill>
              <a:srgbClr val="00B050"/>
            </a:solidFill>
          </c:spPr>
          <c:invertIfNegative val="0"/>
          <c:cat>
            <c:multiLvlStrRef>
              <c:f>'doing busineses'!$A$2:$B$12</c:f>
              <c:multiLvlStrCache>
                <c:ptCount val="11"/>
                <c:lvl>
                  <c:pt idx="0">
                    <c:v>Brazil</c:v>
                  </c:pt>
                  <c:pt idx="1">
                    <c:v>Russia</c:v>
                  </c:pt>
                  <c:pt idx="2">
                    <c:v>India</c:v>
                  </c:pt>
                  <c:pt idx="3">
                    <c:v>China</c:v>
                  </c:pt>
                  <c:pt idx="4">
                    <c:v>Ethiopia</c:v>
                  </c:pt>
                  <c:pt idx="5">
                    <c:v>Kenya</c:v>
                  </c:pt>
                  <c:pt idx="6">
                    <c:v>Malawi</c:v>
                  </c:pt>
                  <c:pt idx="7">
                    <c:v>Rwanda</c:v>
                  </c:pt>
                  <c:pt idx="8">
                    <c:v>Tanzania</c:v>
                  </c:pt>
                  <c:pt idx="9">
                    <c:v>Uganda</c:v>
                  </c:pt>
                  <c:pt idx="10">
                    <c:v>Zambia</c:v>
                  </c:pt>
                </c:lvl>
                <c:lvl>
                  <c:pt idx="0">
                    <c:v>BRIC</c:v>
                  </c:pt>
                  <c:pt idx="4">
                    <c:v>AAMP </c:v>
                  </c:pt>
                </c:lvl>
              </c:multiLvlStrCache>
            </c:multiLvlStrRef>
          </c:cat>
          <c:val>
            <c:numRef>
              <c:f>'doing busineses'!$F$2:$F$12</c:f>
              <c:numCache>
                <c:formatCode>General</c:formatCode>
                <c:ptCount val="11"/>
                <c:pt idx="0">
                  <c:v>127</c:v>
                </c:pt>
                <c:pt idx="1">
                  <c:v>123</c:v>
                </c:pt>
                <c:pt idx="2">
                  <c:v>134</c:v>
                </c:pt>
                <c:pt idx="3">
                  <c:v>79</c:v>
                </c:pt>
                <c:pt idx="4">
                  <c:v>104</c:v>
                </c:pt>
                <c:pt idx="5">
                  <c:v>98</c:v>
                </c:pt>
                <c:pt idx="6">
                  <c:v>133</c:v>
                </c:pt>
                <c:pt idx="7">
                  <c:v>58</c:v>
                </c:pt>
                <c:pt idx="8">
                  <c:v>128</c:v>
                </c:pt>
                <c:pt idx="9">
                  <c:v>122</c:v>
                </c:pt>
                <c:pt idx="10">
                  <c:v>76</c:v>
                </c:pt>
              </c:numCache>
            </c:numRef>
          </c:val>
        </c:ser>
        <c:dLbls>
          <c:showLegendKey val="0"/>
          <c:showVal val="0"/>
          <c:showCatName val="0"/>
          <c:showSerName val="0"/>
          <c:showPercent val="0"/>
          <c:showBubbleSize val="0"/>
        </c:dLbls>
        <c:gapWidth val="75"/>
        <c:overlap val="-25"/>
        <c:axId val="37284864"/>
        <c:axId val="75964416"/>
      </c:barChart>
      <c:catAx>
        <c:axId val="37284864"/>
        <c:scaling>
          <c:orientation val="minMax"/>
        </c:scaling>
        <c:delete val="0"/>
        <c:axPos val="b"/>
        <c:majorTickMark val="none"/>
        <c:minorTickMark val="none"/>
        <c:tickLblPos val="nextTo"/>
        <c:crossAx val="75964416"/>
        <c:crosses val="autoZero"/>
        <c:auto val="1"/>
        <c:lblAlgn val="ctr"/>
        <c:lblOffset val="100"/>
        <c:noMultiLvlLbl val="0"/>
      </c:catAx>
      <c:valAx>
        <c:axId val="75964416"/>
        <c:scaling>
          <c:orientation val="minMax"/>
        </c:scaling>
        <c:delete val="0"/>
        <c:axPos val="l"/>
        <c:majorGridlines/>
        <c:numFmt formatCode="General" sourceLinked="1"/>
        <c:majorTickMark val="none"/>
        <c:minorTickMark val="none"/>
        <c:tickLblPos val="nextTo"/>
        <c:spPr>
          <a:ln w="9525">
            <a:noFill/>
          </a:ln>
        </c:spPr>
        <c:crossAx val="37284864"/>
        <c:crosses val="autoZero"/>
        <c:crossBetween val="between"/>
        <c:majorUnit val="25"/>
      </c:valAx>
    </c:plotArea>
    <c:plotVisOnly val="1"/>
    <c:dispBlanksAs val="gap"/>
    <c:showDLblsOverMax val="0"/>
  </c:chart>
  <c:spPr>
    <a:solidFill>
      <a:schemeClr val="bg1"/>
    </a:solidFill>
  </c:spPr>
  <c:txPr>
    <a:bodyPr/>
    <a:lstStyle/>
    <a:p>
      <a:pPr>
        <a:defRPr sz="1800" b="0">
          <a:latin typeface="Arial" pitchFamily="34" charset="0"/>
          <a:cs typeface="Arial"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36</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Malvika Marwah</dc:creator>
  <cp:lastModifiedBy>Malvika Marwah</cp:lastModifiedBy>
  <cp:revision>2</cp:revision>
  <dcterms:created xsi:type="dcterms:W3CDTF">2013-01-12T22:16:00Z</dcterms:created>
  <dcterms:modified xsi:type="dcterms:W3CDTF">2013-01-13T09:14:00Z</dcterms:modified>
</cp:coreProperties>
</file>