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b/>
          <w:bCs/>
          <w:color w:val="595959"/>
          <w:sz w:val="26"/>
          <w:szCs w:val="26"/>
        </w:rPr>
        <w:t xml:space="preserve">PRODUCT REQUIREMENTS DOCUMENT</w:t>
      </w:r>
    </w:p>
    <w:p>
      <w:pPr>
        <w:spacing w:after="300"/>
        <w:jc w:val="center"/>
      </w:pPr>
      <w:r>
        <w:rPr>
          <w:b/>
          <w:bCs/>
          <w:color w:val="595959"/>
          <w:sz w:val="26"/>
          <w:szCs w:val="26"/>
        </w:rPr>
        <w:t xml:space="preserve">ENGINEERING BUILD SPEC</w:t>
      </w:r>
    </w:p>
    <w:p>
      <w:pPr>
        <w:spacing w:after="100"/>
        <w:jc w:val="center"/>
      </w:pPr>
      <w:r>
        <w:rPr>
          <w:b/>
          <w:bCs/>
          <w:color w:val="1F3A5F"/>
          <w:sz w:val="44"/>
          <w:szCs w:val="44"/>
        </w:rPr>
        <w:t xml:space="preserve">UK Tax Filing Platform</w:t>
      </w:r>
    </w:p>
    <w:p>
      <w:pPr>
        <w:pBdr>
          <w:bottom w:val="single" w:color="8A1F2D" w:sz="12" w:space="10"/>
        </w:pBdr>
        <w:spacing w:after="600" w:before="200"/>
        <w:jc w:val="center"/>
      </w:pPr>
      <w:r>
        <w:rPr>
          <w:i/>
          <w:iCs/>
          <w:color w:val="595959"/>
          <w:sz w:val="22"/>
          <w:szCs w:val="22"/>
        </w:rPr>
        <w:t xml:space="preserve">Corporation Tax (CT600), VAT (MTD), Self Assessment (MTD ITSA) and Companies House accounts filing, subscription SaaS</w:t>
      </w:r>
    </w:p>
    <w:p>
      <w:pPr>
        <w:spacing w:before="800"/>
        <w:jc w:val="center"/>
      </w:pPr>
      <w:r>
        <w:rPr>
          <w:color w:val="595959"/>
          <w:sz w:val="20"/>
          <w:szCs w:val="20"/>
        </w:rPr>
        <w:t xml:space="preserve">Prepared for the engineering team by Bilal Jabbar</w:t>
      </w:r>
    </w:p>
    <w:p>
      <w:pPr>
        <w:spacing w:after="100"/>
        <w:jc w:val="center"/>
      </w:pPr>
      <w:r>
        <w:rPr>
          <w:color w:val="595959"/>
          <w:sz w:val="20"/>
          <w:szCs w:val="20"/>
        </w:rPr>
        <w:t xml:space="preserve">September 2026, v1.0</w:t>
      </w:r>
    </w:p>
    <w:p>
      <w:pPr>
        <w:spacing w:before="900"/>
        <w:jc w:val="center"/>
      </w:pPr>
      <w:r>
        <w:rPr>
          <w:i/>
          <w:iCs/>
          <w:color w:val="595959"/>
          <w:sz w:val="17"/>
          <w:szCs w:val="17"/>
        </w:rPr>
        <w:t xml:space="preserve">This document assumes no prior tax or accounting knowledge. Every rule that affects calculations, deadlines or filing logic is stated as a discrete, numbered requirement. Figures are current as of September 2026 and sourced from gov.uk; three specific points are flagged in Section 9 as needing a qualified accountant's or solicitor's sign-off before they are hard-coded, because they could not be fully confirmed from public guidance alone. Tax rates and thresholds change at least once a year (usually each April), so this document needs a re-verification pass before every tax year, not just at launch.</w:t>
      </w:r>
    </w:p>
    <w:p>
      <w:r>
        <w:br w:type="page"/>
      </w:r>
    </w:p>
    <w:p>
      <w:pPr>
        <w:pStyle w:val="Heading1"/>
        <w:spacing w:after="200" w:before="420"/>
      </w:pPr>
      <w:r>
        <w:t xml:space="preserve">0. How to Read This Document</w:t>
      </w:r>
    </w:p>
    <w:p>
      <w:pPr>
        <w:spacing w:after="150" w:line="300"/>
      </w:pPr>
      <w:r>
        <w:rPr>
          <w:color w:val="202020"/>
          <w:sz w:val="21"/>
          <w:szCs w:val="21"/>
        </w:rPr>
        <w:t xml:space="preserve">You do not need any background in UK tax or accountancy to build from this document. Every technical term is defined the first time it matters and again in the glossary in Section 2. Two visual conventions are used throughout: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8A1F2D" w:sz="4"/>
              <w:left w:val="single" w:color="8A1F2D" w:sz="4"/>
              <w:bottom w:val="single" w:color="8A1F2D" w:sz="4"/>
              <w:right w:val="single" w:color="8A1F2D" w:sz="4"/>
            </w:tcBorders>
            <w:shd w:fill="FCEEEE" w:color="auto" w:val="clear"/>
            <w:tcMar>
              <w:top w:type="dxa" w:w="140"/>
              <w:left w:type="dxa" w:w="200"/>
              <w:bottom w:type="dxa" w:w="140"/>
              <w:right w:type="dxa" w:w="200"/>
            </w:tcMar>
          </w:tcPr>
          <w:p>
            <w:pPr>
              <w:spacing w:after="60"/>
            </w:pPr>
            <w:r>
              <w:rPr>
                <w:b/>
                <w:bCs/>
                <w:color w:val="8A1F2D"/>
                <w:sz w:val="20"/>
                <w:szCs w:val="20"/>
              </w:rPr>
              <w:t xml:space="preserve">BUILD RULE</w:t>
            </w:r>
          </w:p>
          <w:p>
            <w:pPr>
              <w:spacing w:after="0"/>
            </w:pPr>
            <w:r>
              <w:rPr>
                <w:color w:val="202020"/>
                <w:sz w:val="20"/>
                <w:szCs w:val="20"/>
              </w:rPr>
              <w:t xml:space="preserve">A grey-bordered box like this one marks a hard constraint: something the software must or must not do. These are not suggestions, they come directly from HMRC or Companies House requirements and getting one wrong is a compliance failure, not a bug.</w:t>
            </w:r>
          </w:p>
        </w:tc>
      </w:tr>
    </w:tbl>
    <w:p>
      <w:pPr>
        <w:spacing w:after="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shd w:fill="1F2937" w:color="auto" w:val="clear"/>
            <w:tcMar>
              <w:top w:type="dxa" w:w="160"/>
              <w:left w:type="dxa" w:w="200"/>
              <w:bottom w:type="dxa" w:w="160"/>
              <w:right w:type="dxa" w:w="200"/>
            </w:tcMar>
          </w:tcPr>
          <w:p>
            <w:pPr>
              <w:spacing w:after="40"/>
            </w:pPr>
            <w:r>
              <w:rPr>
                <w:rFonts w:ascii="Consolas" w:cs="Consolas" w:eastAsia="Consolas" w:hAnsi="Consolas"/>
                <w:color w:val="E5E7EB"/>
                <w:sz w:val="19"/>
                <w:szCs w:val="19"/>
              </w:rPr>
              <w:t xml:space="preserve">// A dark box like this one is pseudocode.</w:t>
            </w:r>
          </w:p>
          <w:p>
            <w:pPr>
              <w:spacing w:after="40"/>
            </w:pPr>
            <w:r>
              <w:rPr>
                <w:rFonts w:ascii="Consolas" w:cs="Consolas" w:eastAsia="Consolas" w:hAnsi="Consolas"/>
                <w:color w:val="E5E7EB"/>
                <w:sz w:val="19"/>
                <w:szCs w:val="19"/>
              </w:rPr>
              <w:t xml:space="preserve">// It shows the exact calculation logic, not just the prose description.</w:t>
            </w:r>
          </w:p>
        </w:tc>
      </w:tr>
    </w:tbl>
    <w:p>
      <w:pPr>
        <w:spacing w:after="60"/>
      </w:pPr>
    </w:p>
    <w:p>
      <w:pPr>
        <w:spacing w:after="150" w:line="300"/>
      </w:pPr>
      <w:r>
        <w:rPr>
          <w:color w:val="202020"/>
          <w:sz w:val="21"/>
          <w:szCs w:val="21"/>
        </w:rPr>
        <w:t xml:space="preserve">The document is organised in four parts, matching what was asked for: Section 3 is the complete compliance rulebook (the "hard rules"), Section 4 is the platform functionality built on top of those rules, Section 5 is the business model, and Section 6 onward covers the remaining standard PRD material: personas, non-functional requirements, technical integration and submission architecture, phasing, error handling, and acceptance criteria. Section 12 gives the Corporation Tax, VAT and Income Tax/NIC calculations as runnable code rather than prose, and Section 13 is a verification register, a single list of every fact in this document that still needs a qualified professional's sign-off before it is trusted in production, extending the five items already flagged in Section 3.9.</w:t>
      </w:r>
    </w:p>
    <w:p>
      <w:pPr>
        <w:pStyle w:val="Heading1"/>
        <w:spacing w:after="200" w:before="420"/>
      </w:pPr>
      <w:r>
        <w:t xml:space="preserve">1. Product Overview</w:t>
      </w:r>
    </w:p>
    <w:p>
      <w:pPr>
        <w:spacing w:after="150" w:line="300"/>
      </w:pPr>
      <w:r>
        <w:rPr>
          <w:color w:val="202020"/>
          <w:sz w:val="21"/>
          <w:szCs w:val="21"/>
        </w:rPr>
        <w:t xml:space="preserve">The platform is subscription-based software that lets UK micro and small limited companies, and later sole traders and landlords, file their own tax returns and statutory accounts directly to HMRC and Companies House, without hiring an accountant. The user enters their financial figures, the software calculates what is owed, generates the correctly formatted return, and transmits it through HMRC's and Companies House's official systems under the user's own credentials.</w:t>
      </w:r>
    </w:p>
    <w:p>
      <w:pPr>
        <w:spacing w:after="150" w:line="300"/>
      </w:pPr>
      <w:r>
        <w:rPr>
          <w:color w:val="202020"/>
          <w:sz w:val="21"/>
          <w:szCs w:val="21"/>
        </w:rPr>
        <w:t xml:space="preserve">This is self-filing software, not an accountancy service. The platform is the tool the taxpayer uses to file their own return, it is not filing on their behalf as their agent. This distinction is deliberate and affects which regulations apply, see Section 3.8.</w:t>
      </w:r>
    </w:p>
    <w:p>
      <w:pPr>
        <w:pStyle w:val="Heading2"/>
        <w:spacing w:after="140" w:before="300"/>
      </w:pPr>
      <w:r>
        <w:t xml:space="preserve">1.1 What the platform must file, in build priority order</w:t>
      </w:r>
    </w:p>
    <w:p>
      <w:pPr>
        <w:pStyle w:val="ListParagraph"/>
        <w:numPr>
          <w:ilvl w:val="0"/>
          <w:numId w:val="2"/>
        </w:numPr>
        <w:spacing w:after="110" w:line="290"/>
      </w:pPr>
      <w:r>
        <w:rPr>
          <w:b/>
          <w:bCs/>
          <w:color w:val="202020"/>
          <w:sz w:val="21"/>
          <w:szCs w:val="21"/>
        </w:rPr>
        <w:t xml:space="preserve">Corporation Tax (CT600) and annual accounts, for UK limited companies.</w:t>
      </w:r>
    </w:p>
    <w:p>
      <w:pPr>
        <w:pStyle w:val="ListParagraph"/>
        <w:numPr>
          <w:ilvl w:val="0"/>
          <w:numId w:val="2"/>
        </w:numPr>
        <w:spacing w:after="110" w:line="290"/>
      </w:pPr>
      <w:r>
        <w:rPr>
          <w:b/>
          <w:bCs/>
          <w:color w:val="202020"/>
          <w:sz w:val="21"/>
          <w:szCs w:val="21"/>
        </w:rPr>
        <w:t xml:space="preserve">VAT returns under Making Tax Digital, for VAT-registered businesses of any size.</w:t>
      </w:r>
    </w:p>
    <w:p>
      <w:pPr>
        <w:pStyle w:val="ListParagraph"/>
        <w:numPr>
          <w:ilvl w:val="0"/>
          <w:numId w:val="2"/>
        </w:numPr>
        <w:spacing w:after="110" w:line="290"/>
      </w:pPr>
      <w:r>
        <w:rPr>
          <w:b/>
          <w:bCs/>
          <w:color w:val="202020"/>
          <w:sz w:val="21"/>
          <w:szCs w:val="21"/>
        </w:rPr>
        <w:t xml:space="preserve">Self Assessment / Income Tax under Making Tax Digital for Income Tax, for sole traders and landlords.</w:t>
      </w:r>
    </w:p>
    <w:p>
      <w:pPr>
        <w:spacing w:after="150" w:line="300"/>
      </w:pPr>
      <w:r>
        <w:rPr>
          <w:color w:val="202020"/>
          <w:sz w:val="21"/>
          <w:szCs w:val="21"/>
        </w:rPr>
        <w:t xml:space="preserve">This order is a recommendation, not a rule imposed by HMRC. It follows the technical difficulty ranking explained in Section 4: VAT's API is the most modern and fastest to build against, CT600 carries the highest per-customer value and is the hardest, and MTD ITSA has the largest but slowest-arriving addressable market. The product decision on build order is the founder's, but functionality for all three is specified fully below so the roadmap can be resequenced without re-writing the spec.</w:t>
      </w:r>
    </w:p>
    <w:p>
      <w:pPr>
        <w:pStyle w:val="Heading2"/>
        <w:spacing w:after="140" w:before="300"/>
      </w:pPr>
      <w:r>
        <w:t xml:space="preserve">1.2 Who the user is</w:t>
      </w:r>
    </w:p>
    <w:p>
      <w:pPr>
        <w:pStyle w:val="ListParagraph"/>
        <w:numPr>
          <w:ilvl w:val="0"/>
          <w:numId w:val="3"/>
        </w:numPr>
        <w:spacing w:after="90" w:line="290"/>
      </w:pPr>
      <w:r>
        <w:rPr>
          <w:color w:val="202020"/>
          <w:sz w:val="21"/>
          <w:szCs w:val="21"/>
        </w:rPr>
        <w:t xml:space="preserve">Primary persona: a director of a UK micro-entity limited company (turnover under £1m) filing their own CT600 and accounts, with little to no accounting background.</w:t>
      </w:r>
    </w:p>
    <w:p>
      <w:pPr>
        <w:pStyle w:val="ListParagraph"/>
        <w:numPr>
          <w:ilvl w:val="0"/>
          <w:numId w:val="3"/>
        </w:numPr>
        <w:spacing w:after="90" w:line="290"/>
      </w:pPr>
      <w:r>
        <w:rPr>
          <w:color w:val="202020"/>
          <w:sz w:val="21"/>
          <w:szCs w:val="21"/>
        </w:rPr>
        <w:t xml:space="preserve">Secondary persona: a sole trader or landlord above the Making Tax Digital for Income Tax income threshold, filing quarterly updates and an annual Final Declaration instead of the old single annual return.</w:t>
      </w:r>
    </w:p>
    <w:p>
      <w:pPr>
        <w:pStyle w:val="ListParagraph"/>
        <w:numPr>
          <w:ilvl w:val="0"/>
          <w:numId w:val="3"/>
        </w:numPr>
        <w:spacing w:after="90" w:line="290"/>
      </w:pPr>
      <w:r>
        <w:rPr>
          <w:color w:val="202020"/>
          <w:sz w:val="21"/>
          <w:szCs w:val="21"/>
        </w:rPr>
        <w:t xml:space="preserve">Tertiary persona: an accountant or bookkeeper managing filings for multiple client companies through a practice-tier account, see Section 4.7.</w:t>
      </w:r>
    </w:p>
    <w:p>
      <w:pPr>
        <w:pStyle w:val="Heading1"/>
        <w:spacing w:after="200" w:before="420"/>
      </w:pPr>
      <w:r>
        <w:t xml:space="preserve">2. Glossary</w:t>
      </w:r>
    </w:p>
    <w:p>
      <w:pPr>
        <w:spacing w:after="150" w:line="300"/>
      </w:pPr>
      <w:r>
        <w:rPr>
          <w:color w:val="202020"/>
          <w:sz w:val="21"/>
          <w:szCs w:val="21"/>
        </w:rPr>
        <w:t xml:space="preserve">Reference this section whenever an unfamiliar term appears elsewhere in the document. Terms are also bolded and briefly explained inline on first use within Section 3.</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7646"/>
      </w:tblGrid>
      <w:tr>
        <w:trPr>
          <w:tblHeader/>
        </w:trPr>
        <w:tc>
          <w:tcPr>
            <w:tcW w:type="dxa" w:w="2100"/>
            <w:shd w:fill="1F3A5F" w:color="auto" w:val="clear"/>
            <w:tcMar>
              <w:top w:type="dxa" w:w="80"/>
              <w:left w:type="dxa" w:w="100"/>
              <w:bottom w:type="dxa" w:w="80"/>
              <w:right w:type="dxa" w:w="100"/>
            </w:tcMar>
          </w:tcPr>
          <w:p>
            <w:pPr>
              <w:jc w:val="left"/>
            </w:pPr>
            <w:r>
              <w:rPr>
                <w:b/>
                <w:bCs/>
                <w:color w:val="FFFFFF"/>
                <w:sz w:val="18"/>
                <w:szCs w:val="18"/>
              </w:rPr>
              <w:t xml:space="preserve">Term</w:t>
            </w:r>
          </w:p>
        </w:tc>
        <w:tc>
          <w:tcPr>
            <w:tcW w:type="dxa" w:w="7646"/>
            <w:shd w:fill="1F3A5F" w:color="auto" w:val="clear"/>
            <w:tcMar>
              <w:top w:type="dxa" w:w="80"/>
              <w:left w:type="dxa" w:w="100"/>
              <w:bottom w:type="dxa" w:w="80"/>
              <w:right w:type="dxa" w:w="100"/>
            </w:tcMar>
          </w:tcPr>
          <w:p>
            <w:pPr>
              <w:jc w:val="left"/>
            </w:pPr>
            <w:r>
              <w:rPr>
                <w:b/>
                <w:bCs/>
                <w:color w:val="FFFFFF"/>
                <w:sz w:val="18"/>
                <w:szCs w:val="18"/>
              </w:rPr>
              <w:t xml:space="preserve">Plain-language definition</w:t>
            </w:r>
          </w:p>
        </w:tc>
      </w:tr>
      <w:tr>
        <w:tc>
          <w:tcPr>
            <w:tcW w:type="dxa" w:w="2100"/>
            <w:tcMar>
              <w:top w:type="dxa" w:w="80"/>
              <w:left w:type="dxa" w:w="100"/>
              <w:bottom w:type="dxa" w:w="80"/>
              <w:right w:type="dxa" w:w="100"/>
            </w:tcMar>
          </w:tcPr>
          <w:p>
            <w:pPr>
              <w:jc w:val="left"/>
            </w:pPr>
            <w:r>
              <w:rPr>
                <w:b w:val="false"/>
                <w:bCs w:val="false"/>
                <w:color w:val="202020"/>
                <w:sz w:val="18"/>
                <w:szCs w:val="18"/>
              </w:rPr>
              <w:t xml:space="preserve">CT600</w:t>
            </w:r>
          </w:p>
        </w:tc>
        <w:tc>
          <w:tcPr>
            <w:tcW w:type="dxa" w:w="7646"/>
            <w:tcMar>
              <w:top w:type="dxa" w:w="80"/>
              <w:left w:type="dxa" w:w="100"/>
              <w:bottom w:type="dxa" w:w="80"/>
              <w:right w:type="dxa" w:w="100"/>
            </w:tcMar>
          </w:tcPr>
          <w:p>
            <w:pPr>
              <w:jc w:val="left"/>
            </w:pPr>
            <w:r>
              <w:rPr>
                <w:b w:val="false"/>
                <w:bCs w:val="false"/>
                <w:color w:val="202020"/>
                <w:sz w:val="18"/>
                <w:szCs w:val="18"/>
              </w:rPr>
              <w:t xml:space="preserve">The Company Tax Return form. Not just a form, it is a bundle: the CT600 itself, the company's statutory accounts, and the tax computations, all filed together.</w:t>
            </w:r>
          </w:p>
        </w:tc>
      </w:tr>
      <w:tr>
        <w:tc>
          <w:tcPr>
            <w:tcW w:type="dxa" w:w="2100"/>
            <w:shd w:fill="F2F2F2" w:color="auto" w:val="clear"/>
            <w:tcMar>
              <w:top w:type="dxa" w:w="80"/>
              <w:left w:type="dxa" w:w="100"/>
              <w:bottom w:type="dxa" w:w="80"/>
              <w:right w:type="dxa" w:w="100"/>
            </w:tcMar>
          </w:tcPr>
          <w:p>
            <w:pPr>
              <w:jc w:val="left"/>
            </w:pPr>
            <w:r>
              <w:rPr>
                <w:b w:val="false"/>
                <w:bCs w:val="false"/>
                <w:color w:val="202020"/>
                <w:sz w:val="18"/>
                <w:szCs w:val="18"/>
              </w:rPr>
              <w:t xml:space="preserve">Accounting period</w:t>
            </w:r>
          </w:p>
        </w:tc>
        <w:tc>
          <w:tcPr>
            <w:tcW w:type="dxa" w:w="7646"/>
            <w:shd w:fill="F2F2F2" w:color="auto" w:val="clear"/>
            <w:tcMar>
              <w:top w:type="dxa" w:w="80"/>
              <w:left w:type="dxa" w:w="100"/>
              <w:bottom w:type="dxa" w:w="80"/>
              <w:right w:type="dxa" w:w="100"/>
            </w:tcMar>
          </w:tcPr>
          <w:p>
            <w:pPr>
              <w:jc w:val="left"/>
            </w:pPr>
            <w:r>
              <w:rPr>
                <w:b w:val="false"/>
                <w:bCs w:val="false"/>
                <w:color w:val="202020"/>
                <w:sz w:val="18"/>
                <w:szCs w:val="18"/>
              </w:rPr>
              <w:t xml:space="preserve">The period a Corporation Tax calculation covers. Follows the company's financial year but can never legally exceed 12 months, see BUILD RULE 3.1.5.</w:t>
            </w:r>
          </w:p>
        </w:tc>
      </w:tr>
      <w:tr>
        <w:tc>
          <w:tcPr>
            <w:tcW w:type="dxa" w:w="2100"/>
            <w:tcMar>
              <w:top w:type="dxa" w:w="80"/>
              <w:left w:type="dxa" w:w="100"/>
              <w:bottom w:type="dxa" w:w="80"/>
              <w:right w:type="dxa" w:w="100"/>
            </w:tcMar>
          </w:tcPr>
          <w:p>
            <w:pPr>
              <w:jc w:val="left"/>
            </w:pPr>
            <w:r>
              <w:rPr>
                <w:b w:val="false"/>
                <w:bCs w:val="false"/>
                <w:color w:val="202020"/>
                <w:sz w:val="18"/>
                <w:szCs w:val="18"/>
              </w:rPr>
              <w:t xml:space="preserve">Accounting reference date (ARD)</w:t>
            </w:r>
          </w:p>
        </w:tc>
        <w:tc>
          <w:tcPr>
            <w:tcW w:type="dxa" w:w="7646"/>
            <w:tcMar>
              <w:top w:type="dxa" w:w="80"/>
              <w:left w:type="dxa" w:w="100"/>
              <w:bottom w:type="dxa" w:w="80"/>
              <w:right w:type="dxa" w:w="100"/>
            </w:tcMar>
          </w:tcPr>
          <w:p>
            <w:pPr>
              <w:jc w:val="left"/>
            </w:pPr>
            <w:r>
              <w:rPr>
                <w:b w:val="false"/>
                <w:bCs w:val="false"/>
                <w:color w:val="202020"/>
                <w:sz w:val="18"/>
                <w:szCs w:val="18"/>
              </w:rPr>
              <w:t xml:space="preserve">The end date of a company's financial year, set with Companies House. Accounts filing deadlines count from this date.</w:t>
            </w:r>
          </w:p>
        </w:tc>
      </w:tr>
      <w:tr>
        <w:tc>
          <w:tcPr>
            <w:tcW w:type="dxa" w:w="2100"/>
            <w:shd w:fill="F2F2F2" w:color="auto" w:val="clear"/>
            <w:tcMar>
              <w:top w:type="dxa" w:w="80"/>
              <w:left w:type="dxa" w:w="100"/>
              <w:bottom w:type="dxa" w:w="80"/>
              <w:right w:type="dxa" w:w="100"/>
            </w:tcMar>
          </w:tcPr>
          <w:p>
            <w:pPr>
              <w:jc w:val="left"/>
            </w:pPr>
            <w:r>
              <w:rPr>
                <w:b w:val="false"/>
                <w:bCs w:val="false"/>
                <w:color w:val="202020"/>
                <w:sz w:val="18"/>
                <w:szCs w:val="18"/>
              </w:rPr>
              <w:t xml:space="preserve">iXBRL</w:t>
            </w:r>
          </w:p>
        </w:tc>
        <w:tc>
          <w:tcPr>
            <w:tcW w:type="dxa" w:w="7646"/>
            <w:shd w:fill="F2F2F2" w:color="auto" w:val="clear"/>
            <w:tcMar>
              <w:top w:type="dxa" w:w="80"/>
              <w:left w:type="dxa" w:w="100"/>
              <w:bottom w:type="dxa" w:w="80"/>
              <w:right w:type="dxa" w:w="100"/>
            </w:tcMar>
          </w:tcPr>
          <w:p>
            <w:pPr>
              <w:jc w:val="left"/>
            </w:pPr>
            <w:r>
              <w:rPr>
                <w:b w:val="false"/>
                <w:bCs w:val="false"/>
                <w:color w:val="202020"/>
                <w:sz w:val="18"/>
                <w:szCs w:val="18"/>
              </w:rPr>
              <w:t xml:space="preserve">Inline eXtensible Business Reporting Language. An HTML file with machine-readable accounting tags embedded invisibly in it, this is the required format for accounts filed with both HMRC and Companies House.</w:t>
            </w:r>
          </w:p>
        </w:tc>
      </w:tr>
      <w:tr>
        <w:tc>
          <w:tcPr>
            <w:tcW w:type="dxa" w:w="2100"/>
            <w:tcMar>
              <w:top w:type="dxa" w:w="80"/>
              <w:left w:type="dxa" w:w="100"/>
              <w:bottom w:type="dxa" w:w="80"/>
              <w:right w:type="dxa" w:w="100"/>
            </w:tcMar>
          </w:tcPr>
          <w:p>
            <w:pPr>
              <w:jc w:val="left"/>
            </w:pPr>
            <w:r>
              <w:rPr>
                <w:b w:val="false"/>
                <w:bCs w:val="false"/>
                <w:color w:val="202020"/>
                <w:sz w:val="18"/>
                <w:szCs w:val="18"/>
              </w:rPr>
              <w:t xml:space="preserve">XBRL taxonomy</w:t>
            </w:r>
          </w:p>
        </w:tc>
        <w:tc>
          <w:tcPr>
            <w:tcW w:type="dxa" w:w="7646"/>
            <w:tcMar>
              <w:top w:type="dxa" w:w="80"/>
              <w:left w:type="dxa" w:w="100"/>
              <w:bottom w:type="dxa" w:w="80"/>
              <w:right w:type="dxa" w:w="100"/>
            </w:tcMar>
          </w:tcPr>
          <w:p>
            <w:pPr>
              <w:jc w:val="left"/>
            </w:pPr>
            <w:r>
              <w:rPr>
                <w:b w:val="false"/>
                <w:bCs w:val="false"/>
                <w:color w:val="202020"/>
                <w:sz w:val="18"/>
                <w:szCs w:val="18"/>
              </w:rPr>
              <w:t xml:space="preserve">A published dictionary of tags. FRS 105 is the taxonomy for micro-entity accounts, FRS 102 for small company accounts, see Section 3.1.8.</w:t>
            </w:r>
          </w:p>
        </w:tc>
      </w:tr>
      <w:tr>
        <w:tc>
          <w:tcPr>
            <w:tcW w:type="dxa" w:w="2100"/>
            <w:shd w:fill="F2F2F2" w:color="auto" w:val="clear"/>
            <w:tcMar>
              <w:top w:type="dxa" w:w="80"/>
              <w:left w:type="dxa" w:w="100"/>
              <w:bottom w:type="dxa" w:w="80"/>
              <w:right w:type="dxa" w:w="100"/>
            </w:tcMar>
          </w:tcPr>
          <w:p>
            <w:pPr>
              <w:jc w:val="left"/>
            </w:pPr>
            <w:r>
              <w:rPr>
                <w:b w:val="false"/>
                <w:bCs w:val="false"/>
                <w:color w:val="202020"/>
                <w:sz w:val="18"/>
                <w:szCs w:val="18"/>
              </w:rPr>
              <w:t xml:space="preserve">Marginal relief</w:t>
            </w:r>
          </w:p>
        </w:tc>
        <w:tc>
          <w:tcPr>
            <w:tcW w:type="dxa" w:w="7646"/>
            <w:shd w:fill="F2F2F2" w:color="auto" w:val="clear"/>
            <w:tcMar>
              <w:top w:type="dxa" w:w="80"/>
              <w:left w:type="dxa" w:w="100"/>
              <w:bottom w:type="dxa" w:w="80"/>
              <w:right w:type="dxa" w:w="100"/>
            </w:tcMar>
          </w:tcPr>
          <w:p>
            <w:pPr>
              <w:jc w:val="left"/>
            </w:pPr>
            <w:r>
              <w:rPr>
                <w:b w:val="false"/>
                <w:bCs w:val="false"/>
                <w:color w:val="202020"/>
                <w:sz w:val="18"/>
                <w:szCs w:val="18"/>
              </w:rPr>
              <w:t xml:space="preserve">A tapering mechanism that smooths the jump between the 19% and 25% Corporation Tax rates for profits between £50,000 and £250,000, see Section 3.1.2.</w:t>
            </w:r>
          </w:p>
        </w:tc>
      </w:tr>
      <w:tr>
        <w:tc>
          <w:tcPr>
            <w:tcW w:type="dxa" w:w="2100"/>
            <w:tcMar>
              <w:top w:type="dxa" w:w="80"/>
              <w:left w:type="dxa" w:w="100"/>
              <w:bottom w:type="dxa" w:w="80"/>
              <w:right w:type="dxa" w:w="100"/>
            </w:tcMar>
          </w:tcPr>
          <w:p>
            <w:pPr>
              <w:jc w:val="left"/>
            </w:pPr>
            <w:r>
              <w:rPr>
                <w:b w:val="false"/>
                <w:bCs w:val="false"/>
                <w:color w:val="202020"/>
                <w:sz w:val="18"/>
                <w:szCs w:val="18"/>
              </w:rPr>
              <w:t xml:space="preserve">Augmented profits</w:t>
            </w:r>
          </w:p>
        </w:tc>
        <w:tc>
          <w:tcPr>
            <w:tcW w:type="dxa" w:w="7646"/>
            <w:tcMar>
              <w:top w:type="dxa" w:w="80"/>
              <w:left w:type="dxa" w:w="100"/>
              <w:bottom w:type="dxa" w:w="80"/>
              <w:right w:type="dxa" w:w="100"/>
            </w:tcMar>
          </w:tcPr>
          <w:p>
            <w:pPr>
              <w:jc w:val="left"/>
            </w:pPr>
            <w:r>
              <w:rPr>
                <w:b w:val="false"/>
                <w:bCs w:val="false"/>
                <w:color w:val="202020"/>
                <w:sz w:val="18"/>
                <w:szCs w:val="18"/>
              </w:rPr>
              <w:t xml:space="preserve">Taxable profits plus dividends received from companies outside the group. Used only to test where a company sits between the Marginal Relief thresholds, it is not itself taxed.</w:t>
            </w:r>
          </w:p>
        </w:tc>
      </w:tr>
      <w:tr>
        <w:tc>
          <w:tcPr>
            <w:tcW w:type="dxa" w:w="2100"/>
            <w:shd w:fill="F2F2F2" w:color="auto" w:val="clear"/>
            <w:tcMar>
              <w:top w:type="dxa" w:w="80"/>
              <w:left w:type="dxa" w:w="100"/>
              <w:bottom w:type="dxa" w:w="80"/>
              <w:right w:type="dxa" w:w="100"/>
            </w:tcMar>
          </w:tcPr>
          <w:p>
            <w:pPr>
              <w:jc w:val="left"/>
            </w:pPr>
            <w:r>
              <w:rPr>
                <w:b w:val="false"/>
                <w:bCs w:val="false"/>
                <w:color w:val="202020"/>
                <w:sz w:val="18"/>
                <w:szCs w:val="18"/>
              </w:rPr>
              <w:t xml:space="preserve">Associated company</w:t>
            </w:r>
          </w:p>
        </w:tc>
        <w:tc>
          <w:tcPr>
            <w:tcW w:type="dxa" w:w="7646"/>
            <w:shd w:fill="F2F2F2" w:color="auto" w:val="clear"/>
            <w:tcMar>
              <w:top w:type="dxa" w:w="80"/>
              <w:left w:type="dxa" w:w="100"/>
              <w:bottom w:type="dxa" w:w="80"/>
              <w:right w:type="dxa" w:w="100"/>
            </w:tcMar>
          </w:tcPr>
          <w:p>
            <w:pPr>
              <w:jc w:val="left"/>
            </w:pPr>
            <w:r>
              <w:rPr>
                <w:b w:val="false"/>
                <w:bCs w:val="false"/>
                <w:color w:val="202020"/>
                <w:sz w:val="18"/>
                <w:szCs w:val="18"/>
              </w:rPr>
              <w:t xml:space="preserve">Broadly, a company under common control with another. Having associated companies divides the £50,000/£250,000 Marginal Relief thresholds between them, see Section 3.1.4.</w:t>
            </w:r>
          </w:p>
        </w:tc>
      </w:tr>
      <w:tr>
        <w:tc>
          <w:tcPr>
            <w:tcW w:type="dxa" w:w="2100"/>
            <w:tcMar>
              <w:top w:type="dxa" w:w="80"/>
              <w:left w:type="dxa" w:w="100"/>
              <w:bottom w:type="dxa" w:w="80"/>
              <w:right w:type="dxa" w:w="100"/>
            </w:tcMar>
          </w:tcPr>
          <w:p>
            <w:pPr>
              <w:jc w:val="left"/>
            </w:pPr>
            <w:r>
              <w:rPr>
                <w:b w:val="false"/>
                <w:bCs w:val="false"/>
                <w:color w:val="202020"/>
                <w:sz w:val="18"/>
                <w:szCs w:val="18"/>
              </w:rPr>
              <w:t xml:space="preserve">MTD</w:t>
            </w:r>
          </w:p>
        </w:tc>
        <w:tc>
          <w:tcPr>
            <w:tcW w:type="dxa" w:w="7646"/>
            <w:tcMar>
              <w:top w:type="dxa" w:w="80"/>
              <w:left w:type="dxa" w:w="100"/>
              <w:bottom w:type="dxa" w:w="80"/>
              <w:right w:type="dxa" w:w="100"/>
            </w:tcMar>
          </w:tcPr>
          <w:p>
            <w:pPr>
              <w:jc w:val="left"/>
            </w:pPr>
            <w:r>
              <w:rPr>
                <w:b w:val="false"/>
                <w:bCs w:val="false"/>
                <w:color w:val="202020"/>
                <w:sz w:val="18"/>
                <w:szCs w:val="18"/>
              </w:rPr>
              <w:t xml:space="preserve">Making Tax Digital. HMRC's umbrella programme requiring digital record-keeping and API-based (not manual-form) submission. Covers VAT (already mandatory for everyone registered) and, from 2026 onward, Income Tax.</w:t>
            </w:r>
          </w:p>
        </w:tc>
      </w:tr>
      <w:tr>
        <w:tc>
          <w:tcPr>
            <w:tcW w:type="dxa" w:w="2100"/>
            <w:shd w:fill="F2F2F2" w:color="auto" w:val="clear"/>
            <w:tcMar>
              <w:top w:type="dxa" w:w="80"/>
              <w:left w:type="dxa" w:w="100"/>
              <w:bottom w:type="dxa" w:w="80"/>
              <w:right w:type="dxa" w:w="100"/>
            </w:tcMar>
          </w:tcPr>
          <w:p>
            <w:pPr>
              <w:jc w:val="left"/>
            </w:pPr>
            <w:r>
              <w:rPr>
                <w:b w:val="false"/>
                <w:bCs w:val="false"/>
                <w:color w:val="202020"/>
                <w:sz w:val="18"/>
                <w:szCs w:val="18"/>
              </w:rPr>
              <w:t xml:space="preserve">Digital link</w:t>
            </w:r>
          </w:p>
        </w:tc>
        <w:tc>
          <w:tcPr>
            <w:tcW w:type="dxa" w:w="7646"/>
            <w:shd w:fill="F2F2F2" w:color="auto" w:val="clear"/>
            <w:tcMar>
              <w:top w:type="dxa" w:w="80"/>
              <w:left w:type="dxa" w:w="100"/>
              <w:bottom w:type="dxa" w:w="80"/>
              <w:right w:type="dxa" w:w="100"/>
            </w:tcMar>
          </w:tcPr>
          <w:p>
            <w:pPr>
              <w:jc w:val="left"/>
            </w:pPr>
            <w:r>
              <w:rPr>
                <w:b w:val="false"/>
                <w:bCs w:val="false"/>
                <w:color w:val="202020"/>
                <w:sz w:val="18"/>
                <w:szCs w:val="18"/>
              </w:rPr>
              <w:t xml:space="preserve">An electronic, automated transfer of data between two pieces of software with no manual re-typing or copy-paste in between. The core technical constraint behind MTD, see BUILD RULE 3.3.3.</w:t>
            </w:r>
          </w:p>
        </w:tc>
      </w:tr>
      <w:tr>
        <w:tc>
          <w:tcPr>
            <w:tcW w:type="dxa" w:w="2100"/>
            <w:tcMar>
              <w:top w:type="dxa" w:w="80"/>
              <w:left w:type="dxa" w:w="100"/>
              <w:bottom w:type="dxa" w:w="80"/>
              <w:right w:type="dxa" w:w="100"/>
            </w:tcMar>
          </w:tcPr>
          <w:p>
            <w:pPr>
              <w:jc w:val="left"/>
            </w:pPr>
            <w:r>
              <w:rPr>
                <w:b w:val="false"/>
                <w:bCs w:val="false"/>
                <w:color w:val="202020"/>
                <w:sz w:val="18"/>
                <w:szCs w:val="18"/>
              </w:rPr>
              <w:t xml:space="preserve">Government Gateway</w:t>
            </w:r>
          </w:p>
        </w:tc>
        <w:tc>
          <w:tcPr>
            <w:tcW w:type="dxa" w:w="7646"/>
            <w:tcMar>
              <w:top w:type="dxa" w:w="80"/>
              <w:left w:type="dxa" w:w="100"/>
              <w:bottom w:type="dxa" w:w="80"/>
              <w:right w:type="dxa" w:w="100"/>
            </w:tcMar>
          </w:tcPr>
          <w:p>
            <w:pPr>
              <w:jc w:val="left"/>
            </w:pPr>
            <w:r>
              <w:rPr>
                <w:b w:val="false"/>
                <w:bCs w:val="false"/>
                <w:color w:val="202020"/>
                <w:sz w:val="18"/>
                <w:szCs w:val="18"/>
              </w:rPr>
              <w:t xml:space="preserve">HMRC's legacy authentication and submission mechanism, used for Corporation Tax and Self Assessment (SA100) filing. Distinct from the modern OAuth2 API used for VAT and MTD ITSA.</w:t>
            </w:r>
          </w:p>
        </w:tc>
      </w:tr>
      <w:tr>
        <w:tc>
          <w:tcPr>
            <w:tcW w:type="dxa" w:w="2100"/>
            <w:shd w:fill="F2F2F2" w:color="auto" w:val="clear"/>
            <w:tcMar>
              <w:top w:type="dxa" w:w="80"/>
              <w:left w:type="dxa" w:w="100"/>
              <w:bottom w:type="dxa" w:w="80"/>
              <w:right w:type="dxa" w:w="100"/>
            </w:tcMar>
          </w:tcPr>
          <w:p>
            <w:pPr>
              <w:jc w:val="left"/>
            </w:pPr>
            <w:r>
              <w:rPr>
                <w:b w:val="false"/>
                <w:bCs w:val="false"/>
                <w:color w:val="202020"/>
                <w:sz w:val="18"/>
                <w:szCs w:val="18"/>
              </w:rPr>
              <w:t xml:space="preserve">OAuth2</w:t>
            </w:r>
          </w:p>
        </w:tc>
        <w:tc>
          <w:tcPr>
            <w:tcW w:type="dxa" w:w="7646"/>
            <w:shd w:fill="F2F2F2" w:color="auto" w:val="clear"/>
            <w:tcMar>
              <w:top w:type="dxa" w:w="80"/>
              <w:left w:type="dxa" w:w="100"/>
              <w:bottom w:type="dxa" w:w="80"/>
              <w:right w:type="dxa" w:w="100"/>
            </w:tcMar>
          </w:tcPr>
          <w:p>
            <w:pPr>
              <w:jc w:val="left"/>
            </w:pPr>
            <w:r>
              <w:rPr>
                <w:b w:val="false"/>
                <w:bCs w:val="false"/>
                <w:color w:val="202020"/>
                <w:sz w:val="18"/>
                <w:szCs w:val="18"/>
              </w:rPr>
              <w:t xml:space="preserve">The modern authorisation protocol HMRC uses for its REST APIs (VAT, MTD ITSA). The user grants the software time-limited access to their HMRC account rather than sharing a password directly.</w:t>
            </w:r>
          </w:p>
        </w:tc>
      </w:tr>
      <w:tr>
        <w:tc>
          <w:tcPr>
            <w:tcW w:type="dxa" w:w="2100"/>
            <w:tcMar>
              <w:top w:type="dxa" w:w="80"/>
              <w:left w:type="dxa" w:w="100"/>
              <w:bottom w:type="dxa" w:w="80"/>
              <w:right w:type="dxa" w:w="100"/>
            </w:tcMar>
          </w:tcPr>
          <w:p>
            <w:pPr>
              <w:jc w:val="left"/>
            </w:pPr>
            <w:r>
              <w:rPr>
                <w:b w:val="false"/>
                <w:bCs w:val="false"/>
                <w:color w:val="202020"/>
                <w:sz w:val="18"/>
                <w:szCs w:val="18"/>
              </w:rPr>
              <w:t xml:space="preserve">VRN</w:t>
            </w:r>
          </w:p>
        </w:tc>
        <w:tc>
          <w:tcPr>
            <w:tcW w:type="dxa" w:w="7646"/>
            <w:tcMar>
              <w:top w:type="dxa" w:w="80"/>
              <w:left w:type="dxa" w:w="100"/>
              <w:bottom w:type="dxa" w:w="80"/>
              <w:right w:type="dxa" w:w="100"/>
            </w:tcMar>
          </w:tcPr>
          <w:p>
            <w:pPr>
              <w:jc w:val="left"/>
            </w:pPr>
            <w:r>
              <w:rPr>
                <w:b w:val="false"/>
                <w:bCs w:val="false"/>
                <w:color w:val="202020"/>
                <w:sz w:val="18"/>
                <w:szCs w:val="18"/>
              </w:rPr>
              <w:t xml:space="preserve">VAT Registration Number, the unique ID HMRC assigns a VAT-registered business.</w:t>
            </w:r>
          </w:p>
        </w:tc>
      </w:tr>
      <w:tr>
        <w:tc>
          <w:tcPr>
            <w:tcW w:type="dxa" w:w="2100"/>
            <w:shd w:fill="F2F2F2" w:color="auto" w:val="clear"/>
            <w:tcMar>
              <w:top w:type="dxa" w:w="80"/>
              <w:left w:type="dxa" w:w="100"/>
              <w:bottom w:type="dxa" w:w="80"/>
              <w:right w:type="dxa" w:w="100"/>
            </w:tcMar>
          </w:tcPr>
          <w:p>
            <w:pPr>
              <w:jc w:val="left"/>
            </w:pPr>
            <w:r>
              <w:rPr>
                <w:b w:val="false"/>
                <w:bCs w:val="false"/>
                <w:color w:val="202020"/>
                <w:sz w:val="18"/>
                <w:szCs w:val="18"/>
              </w:rPr>
              <w:t xml:space="preserve">Flat Rate Scheme (FRS)</w:t>
            </w:r>
          </w:p>
        </w:tc>
        <w:tc>
          <w:tcPr>
            <w:tcW w:type="dxa" w:w="7646"/>
            <w:shd w:fill="F2F2F2" w:color="auto" w:val="clear"/>
            <w:tcMar>
              <w:top w:type="dxa" w:w="80"/>
              <w:left w:type="dxa" w:w="100"/>
              <w:bottom w:type="dxa" w:w="80"/>
              <w:right w:type="dxa" w:w="100"/>
            </w:tcMar>
          </w:tcPr>
          <w:p>
            <w:pPr>
              <w:jc w:val="left"/>
            </w:pPr>
            <w:r>
              <w:rPr>
                <w:b w:val="false"/>
                <w:bCs w:val="false"/>
                <w:color w:val="202020"/>
                <w:sz w:val="18"/>
                <w:szCs w:val="18"/>
              </w:rPr>
              <w:t xml:space="preserve">An alternative VAT accounting method: pay a fixed percentage of gross turnover instead of calculating output VAT minus input VAT. See Section 3.3.5.</w:t>
            </w:r>
          </w:p>
        </w:tc>
      </w:tr>
      <w:tr>
        <w:tc>
          <w:tcPr>
            <w:tcW w:type="dxa" w:w="2100"/>
            <w:tcMar>
              <w:top w:type="dxa" w:w="80"/>
              <w:left w:type="dxa" w:w="100"/>
              <w:bottom w:type="dxa" w:w="80"/>
              <w:right w:type="dxa" w:w="100"/>
            </w:tcMar>
          </w:tcPr>
          <w:p>
            <w:pPr>
              <w:jc w:val="left"/>
            </w:pPr>
            <w:r>
              <w:rPr>
                <w:b w:val="false"/>
                <w:bCs w:val="false"/>
                <w:color w:val="202020"/>
                <w:sz w:val="18"/>
                <w:szCs w:val="18"/>
              </w:rPr>
              <w:t xml:space="preserve">Personal Allowance</w:t>
            </w:r>
          </w:p>
        </w:tc>
        <w:tc>
          <w:tcPr>
            <w:tcW w:type="dxa" w:w="7646"/>
            <w:tcMar>
              <w:top w:type="dxa" w:w="80"/>
              <w:left w:type="dxa" w:w="100"/>
              <w:bottom w:type="dxa" w:w="80"/>
              <w:right w:type="dxa" w:w="100"/>
            </w:tcMar>
          </w:tcPr>
          <w:p>
            <w:pPr>
              <w:jc w:val="left"/>
            </w:pPr>
            <w:r>
              <w:rPr>
                <w:b w:val="false"/>
                <w:bCs w:val="false"/>
                <w:color w:val="202020"/>
                <w:sz w:val="18"/>
                <w:szCs w:val="18"/>
              </w:rPr>
              <w:t xml:space="preserve">The amount of income (£12,570 for 2026/27) an individual can earn before paying any Income Tax. Tapers away entirely by £125,140 of income.</w:t>
            </w:r>
          </w:p>
        </w:tc>
      </w:tr>
      <w:tr>
        <w:tc>
          <w:tcPr>
            <w:tcW w:type="dxa" w:w="2100"/>
            <w:shd w:fill="F2F2F2" w:color="auto" w:val="clear"/>
            <w:tcMar>
              <w:top w:type="dxa" w:w="80"/>
              <w:left w:type="dxa" w:w="100"/>
              <w:bottom w:type="dxa" w:w="80"/>
              <w:right w:type="dxa" w:w="100"/>
            </w:tcMar>
          </w:tcPr>
          <w:p>
            <w:pPr>
              <w:jc w:val="left"/>
            </w:pPr>
            <w:r>
              <w:rPr>
                <w:b w:val="false"/>
                <w:bCs w:val="false"/>
                <w:color w:val="202020"/>
                <w:sz w:val="18"/>
                <w:szCs w:val="18"/>
              </w:rPr>
              <w:t xml:space="preserve">Class 2 / Class 4 NIC</w:t>
            </w:r>
          </w:p>
        </w:tc>
        <w:tc>
          <w:tcPr>
            <w:tcW w:type="dxa" w:w="7646"/>
            <w:shd w:fill="F2F2F2" w:color="auto" w:val="clear"/>
            <w:tcMar>
              <w:top w:type="dxa" w:w="80"/>
              <w:left w:type="dxa" w:w="100"/>
              <w:bottom w:type="dxa" w:w="80"/>
              <w:right w:type="dxa" w:w="100"/>
            </w:tcMar>
          </w:tcPr>
          <w:p>
            <w:pPr>
              <w:jc w:val="left"/>
            </w:pPr>
            <w:r>
              <w:rPr>
                <w:b w:val="false"/>
                <w:bCs w:val="false"/>
                <w:color w:val="202020"/>
                <w:sz w:val="18"/>
                <w:szCs w:val="18"/>
              </w:rPr>
              <w:t xml:space="preserve">National Insurance Contributions paid by the self-employed. Class 2 is now largely automatic and free below a threshold; Class 4 is a percentage of profits, see Section 3.4.2.</w:t>
            </w:r>
          </w:p>
        </w:tc>
      </w:tr>
      <w:tr>
        <w:tc>
          <w:tcPr>
            <w:tcW w:type="dxa" w:w="2100"/>
            <w:tcMar>
              <w:top w:type="dxa" w:w="80"/>
              <w:left w:type="dxa" w:w="100"/>
              <w:bottom w:type="dxa" w:w="80"/>
              <w:right w:type="dxa" w:w="100"/>
            </w:tcMar>
          </w:tcPr>
          <w:p>
            <w:pPr>
              <w:jc w:val="left"/>
            </w:pPr>
            <w:r>
              <w:rPr>
                <w:b w:val="false"/>
                <w:bCs w:val="false"/>
                <w:color w:val="202020"/>
                <w:sz w:val="18"/>
                <w:szCs w:val="18"/>
              </w:rPr>
              <w:t xml:space="preserve">SA100</w:t>
            </w:r>
          </w:p>
        </w:tc>
        <w:tc>
          <w:tcPr>
            <w:tcW w:type="dxa" w:w="7646"/>
            <w:tcMar>
              <w:top w:type="dxa" w:w="80"/>
              <w:left w:type="dxa" w:w="100"/>
              <w:bottom w:type="dxa" w:w="80"/>
              <w:right w:type="dxa" w:w="100"/>
            </w:tcMar>
          </w:tcPr>
          <w:p>
            <w:pPr>
              <w:jc w:val="left"/>
            </w:pPr>
            <w:r>
              <w:rPr>
                <w:b w:val="false"/>
                <w:bCs w:val="false"/>
                <w:color w:val="202020"/>
                <w:sz w:val="18"/>
                <w:szCs w:val="18"/>
              </w:rPr>
              <w:t xml:space="preserve">The traditional annual Self Assessment tax return form. Being replaced for higher-income sole traders/landlords by the MTD ITSA quarterly-plus-Final-Declaration structure, see Section 3.5.</w:t>
            </w:r>
          </w:p>
        </w:tc>
      </w:tr>
      <w:tr>
        <w:tc>
          <w:tcPr>
            <w:tcW w:type="dxa" w:w="2100"/>
            <w:shd w:fill="F2F2F2" w:color="auto" w:val="clear"/>
            <w:tcMar>
              <w:top w:type="dxa" w:w="80"/>
              <w:left w:type="dxa" w:w="100"/>
              <w:bottom w:type="dxa" w:w="80"/>
              <w:right w:type="dxa" w:w="100"/>
            </w:tcMar>
          </w:tcPr>
          <w:p>
            <w:pPr>
              <w:jc w:val="left"/>
            </w:pPr>
            <w:r>
              <w:rPr>
                <w:b w:val="false"/>
                <w:bCs w:val="false"/>
                <w:color w:val="202020"/>
                <w:sz w:val="18"/>
                <w:szCs w:val="18"/>
              </w:rPr>
              <w:t xml:space="preserve">Final Declaration</w:t>
            </w:r>
          </w:p>
        </w:tc>
        <w:tc>
          <w:tcPr>
            <w:tcW w:type="dxa" w:w="7646"/>
            <w:shd w:fill="F2F2F2" w:color="auto" w:val="clear"/>
            <w:tcMar>
              <w:top w:type="dxa" w:w="80"/>
              <w:left w:type="dxa" w:w="100"/>
              <w:bottom w:type="dxa" w:w="80"/>
              <w:right w:type="dxa" w:w="100"/>
            </w:tcMar>
          </w:tcPr>
          <w:p>
            <w:pPr>
              <w:jc w:val="left"/>
            </w:pPr>
            <w:r>
              <w:rPr>
                <w:b w:val="false"/>
                <w:bCs w:val="false"/>
                <w:color w:val="202020"/>
                <w:sz w:val="18"/>
                <w:szCs w:val="18"/>
              </w:rPr>
              <w:t xml:space="preserve">Under MTD ITSA, the single year-end submission that finalises a taxpayer's full tax position (all income, not just business income) and replaces the old SA100. Due the same date the SA100 used to be, 31 January.</w:t>
            </w:r>
          </w:p>
        </w:tc>
      </w:tr>
      <w:tr>
        <w:tc>
          <w:tcPr>
            <w:tcW w:type="dxa" w:w="2100"/>
            <w:tcMar>
              <w:top w:type="dxa" w:w="80"/>
              <w:left w:type="dxa" w:w="100"/>
              <w:bottom w:type="dxa" w:w="80"/>
              <w:right w:type="dxa" w:w="100"/>
            </w:tcMar>
          </w:tcPr>
          <w:p>
            <w:pPr>
              <w:jc w:val="left"/>
            </w:pPr>
            <w:r>
              <w:rPr>
                <w:b w:val="false"/>
                <w:bCs w:val="false"/>
                <w:color w:val="202020"/>
                <w:sz w:val="18"/>
                <w:szCs w:val="18"/>
              </w:rPr>
              <w:t xml:space="preserve">Qualifying income</w:t>
            </w:r>
          </w:p>
        </w:tc>
        <w:tc>
          <w:tcPr>
            <w:tcW w:type="dxa" w:w="7646"/>
            <w:tcMar>
              <w:top w:type="dxa" w:w="80"/>
              <w:left w:type="dxa" w:w="100"/>
              <w:bottom w:type="dxa" w:w="80"/>
              <w:right w:type="dxa" w:w="100"/>
            </w:tcMar>
          </w:tcPr>
          <w:p>
            <w:pPr>
              <w:jc w:val="left"/>
            </w:pPr>
            <w:r>
              <w:rPr>
                <w:b w:val="false"/>
                <w:bCs w:val="false"/>
                <w:color w:val="202020"/>
                <w:sz w:val="18"/>
                <w:szCs w:val="18"/>
              </w:rPr>
              <w:t xml:space="preserve">Under MTD ITSA, gross turnover from self-employment plus property income (combined, before expenses) used to test whether someone must use MTD ITSA. Excludes employment income, dividends, interest and pensions.</w:t>
            </w:r>
          </w:p>
        </w:tc>
      </w:tr>
      <w:tr>
        <w:tc>
          <w:tcPr>
            <w:tcW w:type="dxa" w:w="2100"/>
            <w:shd w:fill="F2F2F2" w:color="auto" w:val="clear"/>
            <w:tcMar>
              <w:top w:type="dxa" w:w="80"/>
              <w:left w:type="dxa" w:w="100"/>
              <w:bottom w:type="dxa" w:w="80"/>
              <w:right w:type="dxa" w:w="100"/>
            </w:tcMar>
          </w:tcPr>
          <w:p>
            <w:pPr>
              <w:jc w:val="left"/>
            </w:pPr>
            <w:r>
              <w:rPr>
                <w:b w:val="false"/>
                <w:bCs w:val="false"/>
                <w:color w:val="202020"/>
                <w:sz w:val="18"/>
                <w:szCs w:val="18"/>
              </w:rPr>
              <w:t xml:space="preserve">Payments on account</w:t>
            </w:r>
          </w:p>
        </w:tc>
        <w:tc>
          <w:tcPr>
            <w:tcW w:type="dxa" w:w="7646"/>
            <w:shd w:fill="F2F2F2" w:color="auto" w:val="clear"/>
            <w:tcMar>
              <w:top w:type="dxa" w:w="80"/>
              <w:left w:type="dxa" w:w="100"/>
              <w:bottom w:type="dxa" w:w="80"/>
              <w:right w:type="dxa" w:w="100"/>
            </w:tcMar>
          </w:tcPr>
          <w:p>
            <w:pPr>
              <w:jc w:val="left"/>
            </w:pPr>
            <w:r>
              <w:rPr>
                <w:b w:val="false"/>
                <w:bCs w:val="false"/>
                <w:color w:val="202020"/>
                <w:sz w:val="18"/>
                <w:szCs w:val="18"/>
              </w:rPr>
              <w:t xml:space="preserve">Two advance payments (each 50% of the prior year's tax bill) self-employed taxpayers make toward next year's Income Tax, due 31 January and 31 July.</w:t>
            </w:r>
          </w:p>
        </w:tc>
      </w:tr>
      <w:tr>
        <w:tc>
          <w:tcPr>
            <w:tcW w:type="dxa" w:w="2100"/>
            <w:tcMar>
              <w:top w:type="dxa" w:w="80"/>
              <w:left w:type="dxa" w:w="100"/>
              <w:bottom w:type="dxa" w:w="80"/>
              <w:right w:type="dxa" w:w="100"/>
            </w:tcMar>
          </w:tcPr>
          <w:p>
            <w:pPr>
              <w:jc w:val="left"/>
            </w:pPr>
            <w:r>
              <w:rPr>
                <w:b w:val="false"/>
                <w:bCs w:val="false"/>
                <w:color w:val="202020"/>
                <w:sz w:val="18"/>
                <w:szCs w:val="18"/>
              </w:rPr>
              <w:t xml:space="preserve">Confirmation statement</w:t>
            </w:r>
          </w:p>
        </w:tc>
        <w:tc>
          <w:tcPr>
            <w:tcW w:type="dxa" w:w="7646"/>
            <w:tcMar>
              <w:top w:type="dxa" w:w="80"/>
              <w:left w:type="dxa" w:w="100"/>
              <w:bottom w:type="dxa" w:w="80"/>
              <w:right w:type="dxa" w:w="100"/>
            </w:tcMar>
          </w:tcPr>
          <w:p>
            <w:pPr>
              <w:jc w:val="left"/>
            </w:pPr>
            <w:r>
              <w:rPr>
                <w:b w:val="false"/>
                <w:bCs w:val="false"/>
                <w:color w:val="202020"/>
                <w:sz w:val="18"/>
                <w:szCs w:val="18"/>
              </w:rPr>
              <w:t xml:space="preserve">An annual Companies House filing confirming a company's registered details are up to date. Not a financial filing, no accounts data involved.</w:t>
            </w:r>
          </w:p>
        </w:tc>
      </w:tr>
      <w:tr>
        <w:tc>
          <w:tcPr>
            <w:tcW w:type="dxa" w:w="2100"/>
            <w:shd w:fill="F2F2F2" w:color="auto" w:val="clear"/>
            <w:tcMar>
              <w:top w:type="dxa" w:w="80"/>
              <w:left w:type="dxa" w:w="100"/>
              <w:bottom w:type="dxa" w:w="80"/>
              <w:right w:type="dxa" w:w="100"/>
            </w:tcMar>
          </w:tcPr>
          <w:p>
            <w:pPr>
              <w:jc w:val="left"/>
            </w:pPr>
            <w:r>
              <w:rPr>
                <w:b w:val="false"/>
                <w:bCs w:val="false"/>
                <w:color w:val="202020"/>
                <w:sz w:val="18"/>
                <w:szCs w:val="18"/>
              </w:rPr>
              <w:t xml:space="preserve">PSC</w:t>
            </w:r>
          </w:p>
        </w:tc>
        <w:tc>
          <w:tcPr>
            <w:tcW w:type="dxa" w:w="7646"/>
            <w:shd w:fill="F2F2F2" w:color="auto" w:val="clear"/>
            <w:tcMar>
              <w:top w:type="dxa" w:w="80"/>
              <w:left w:type="dxa" w:w="100"/>
              <w:bottom w:type="dxa" w:w="80"/>
              <w:right w:type="dxa" w:w="100"/>
            </w:tcMar>
          </w:tcPr>
          <w:p>
            <w:pPr>
              <w:jc w:val="left"/>
            </w:pPr>
            <w:r>
              <w:rPr>
                <w:b w:val="false"/>
                <w:bCs w:val="false"/>
                <w:color w:val="202020"/>
                <w:sz w:val="18"/>
                <w:szCs w:val="18"/>
              </w:rPr>
              <w:t xml:space="preserve">Person with Significant Control, broadly someone who owns more than 25% of a company or otherwise controls it. Must be declared to Companies House.</w:t>
            </w:r>
          </w:p>
        </w:tc>
      </w:tr>
      <w:tr>
        <w:tc>
          <w:tcPr>
            <w:tcW w:type="dxa" w:w="2100"/>
            <w:tcMar>
              <w:top w:type="dxa" w:w="80"/>
              <w:left w:type="dxa" w:w="100"/>
              <w:bottom w:type="dxa" w:w="80"/>
              <w:right w:type="dxa" w:w="100"/>
            </w:tcMar>
          </w:tcPr>
          <w:p>
            <w:pPr>
              <w:jc w:val="left"/>
            </w:pPr>
            <w:r>
              <w:rPr>
                <w:b w:val="false"/>
                <w:bCs w:val="false"/>
                <w:color w:val="202020"/>
                <w:sz w:val="18"/>
                <w:szCs w:val="18"/>
              </w:rPr>
              <w:t xml:space="preserve">Micro-entity / small company</w:t>
            </w:r>
          </w:p>
        </w:tc>
        <w:tc>
          <w:tcPr>
            <w:tcW w:type="dxa" w:w="7646"/>
            <w:tcMar>
              <w:top w:type="dxa" w:w="80"/>
              <w:left w:type="dxa" w:w="100"/>
              <w:bottom w:type="dxa" w:w="80"/>
              <w:right w:type="dxa" w:w="100"/>
            </w:tcMar>
          </w:tcPr>
          <w:p>
            <w:pPr>
              <w:jc w:val="left"/>
            </w:pPr>
            <w:r>
              <w:rPr>
                <w:b w:val="false"/>
                <w:bCs w:val="false"/>
                <w:color w:val="202020"/>
                <w:sz w:val="18"/>
                <w:szCs w:val="18"/>
              </w:rPr>
              <w:t xml:space="preserve">Companies Act size categories that determine which accounts format and how much detail must be filed, see Section 3.1.8 and Section 3.6.4.</w:t>
            </w:r>
          </w:p>
        </w:tc>
      </w:tr>
      <w:tr>
        <w:tc>
          <w:tcPr>
            <w:tcW w:type="dxa" w:w="2100"/>
            <w:shd w:fill="F2F2F2" w:color="auto" w:val="clear"/>
            <w:tcMar>
              <w:top w:type="dxa" w:w="80"/>
              <w:left w:type="dxa" w:w="100"/>
              <w:bottom w:type="dxa" w:w="80"/>
              <w:right w:type="dxa" w:w="100"/>
            </w:tcMar>
          </w:tcPr>
          <w:p>
            <w:pPr>
              <w:jc w:val="left"/>
            </w:pPr>
            <w:r>
              <w:rPr>
                <w:b w:val="false"/>
                <w:bCs w:val="false"/>
                <w:color w:val="202020"/>
                <w:sz w:val="18"/>
                <w:szCs w:val="18"/>
              </w:rPr>
              <w:t xml:space="preserve">ICO</w:t>
            </w:r>
          </w:p>
        </w:tc>
        <w:tc>
          <w:tcPr>
            <w:tcW w:type="dxa" w:w="7646"/>
            <w:shd w:fill="F2F2F2" w:color="auto" w:val="clear"/>
            <w:tcMar>
              <w:top w:type="dxa" w:w="80"/>
              <w:left w:type="dxa" w:w="100"/>
              <w:bottom w:type="dxa" w:w="80"/>
              <w:right w:type="dxa" w:w="100"/>
            </w:tcMar>
          </w:tcPr>
          <w:p>
            <w:pPr>
              <w:jc w:val="left"/>
            </w:pPr>
            <w:r>
              <w:rPr>
                <w:b w:val="false"/>
                <w:bCs w:val="false"/>
                <w:color w:val="202020"/>
                <w:sz w:val="18"/>
                <w:szCs w:val="18"/>
              </w:rPr>
              <w:t xml:space="preserve">Information Commissioner's Office, the UK's data protection regulator. The platform must register and pay an annual fee, see Section 3.7.</w:t>
            </w:r>
          </w:p>
        </w:tc>
      </w:tr>
    </w:tbl>
    <w:p>
      <w:pPr>
        <w:spacing w:after="200"/>
      </w:pPr>
    </w:p>
    <w:p>
      <w:pPr>
        <w:pStyle w:val="Heading1"/>
        <w:spacing w:after="200" w:before="420"/>
      </w:pPr>
      <w:r>
        <w:t xml:space="preserve">3. Compliance Requirements: Hard Rules</w:t>
      </w:r>
    </w:p>
    <w:p>
      <w:pPr>
        <w:spacing w:after="150" w:line="300"/>
      </w:pPr>
      <w:r>
        <w:rPr>
          <w:color w:val="202020"/>
          <w:sz w:val="21"/>
          <w:szCs w:val="21"/>
        </w:rPr>
        <w:t xml:space="preserve">This section is the authoritative rulebook. Every number here is a business rule, not a suggestion, get any of them wrong in code and the software calculates the wrong tax bill or misses a legal deadline. All figures are confirmed current for the 2026/27 tax year (from 6 April 2026) against gov.uk directly. Because rates and thresholds typically change every April in the UK Budget, treat every numeric value in this section as needing a review pass before each new tax year, this is a recurring engineering task, not a one-off.</w:t>
      </w:r>
    </w:p>
    <w:p>
      <w:pPr>
        <w:pStyle w:val="Heading2"/>
        <w:spacing w:after="140" w:before="300"/>
      </w:pPr>
      <w:r>
        <w:t xml:space="preserve">3.0 Accounting Foundations: How the Balance Sheet Actually Balances</w:t>
      </w:r>
    </w:p>
    <w:p>
      <w:pPr>
        <w:spacing w:after="150" w:line="300"/>
      </w:pPr>
      <w:r>
        <w:rPr>
          <w:color w:val="202020"/>
          <w:sz w:val="21"/>
          <w:szCs w:val="21"/>
        </w:rPr>
        <w:t xml:space="preserve">Read this before anything else in Section 3. Every rule that follows, capital allowances, disallowable expenses, the whole tax computation bridge, assumes the developer already understands why a balance sheet balances. It is not obvious if you have never seen one, so it is explained here from first principles, using a real filed set of micro-entity accounts as the worked example throughout.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8A1F2D" w:sz="4"/>
              <w:left w:val="single" w:color="8A1F2D" w:sz="4"/>
              <w:bottom w:val="single" w:color="8A1F2D" w:sz="4"/>
              <w:right w:val="single" w:color="8A1F2D" w:sz="4"/>
            </w:tcBorders>
            <w:shd w:fill="FCEEEE" w:color="auto" w:val="clear"/>
            <w:tcMar>
              <w:top w:type="dxa" w:w="140"/>
              <w:left w:type="dxa" w:w="200"/>
              <w:bottom w:type="dxa" w:w="140"/>
              <w:right w:type="dxa" w:w="200"/>
            </w:tcMar>
          </w:tcPr>
          <w:p>
            <w:pPr>
              <w:spacing w:after="60"/>
            </w:pPr>
            <w:r>
              <w:rPr>
                <w:b/>
                <w:bCs/>
                <w:color w:val="8A1F2D"/>
                <w:sz w:val="20"/>
                <w:szCs w:val="20"/>
              </w:rPr>
              <w:t xml:space="preserve">WHY THIS SECTION EXISTS</w:t>
            </w:r>
          </w:p>
          <w:p>
            <w:pPr>
              <w:spacing w:after="0"/>
            </w:pPr>
            <w:r>
              <w:rPr>
                <w:color w:val="202020"/>
                <w:sz w:val="20"/>
                <w:szCs w:val="20"/>
              </w:rPr>
              <w:t xml:space="preserve">A balance sheet has two sides that must always show the same total: what the company owns and is owed (assets, minus what it owes, i.e. net assets), and who that value belongs to (capital and reserves, i.e. equity). A developer who does not understand why these two numbers are always equal will build them as two separate, independently-entered totals and then be confused when they do not match, or worse, silently let mismatched accounts get submitted to Companies House.</w:t>
            </w:r>
          </w:p>
        </w:tc>
      </w:tr>
    </w:tbl>
    <w:p>
      <w:pPr>
        <w:pStyle w:val="Heading3"/>
        <w:spacing w:after="100" w:before="200"/>
      </w:pPr>
      <w:r>
        <w:t xml:space="preserve">3.0.1 The rule behind the rule: every transaction has two sides</w:t>
      </w:r>
    </w:p>
    <w:p>
      <w:pPr>
        <w:spacing w:after="150" w:line="300"/>
      </w:pPr>
      <w:r>
        <w:rPr>
          <w:color w:val="202020"/>
          <w:sz w:val="21"/>
          <w:szCs w:val="21"/>
        </w:rPr>
        <w:t xml:space="preserve">This is called double-entry bookkeeping, and it is the single fact that makes the rest of this section make sense. Every transaction a business makes changes two things at once, never just one:</w:t>
      </w:r>
    </w:p>
    <w:p>
      <w:pPr>
        <w:pStyle w:val="ListParagraph"/>
        <w:numPr>
          <w:ilvl w:val="0"/>
          <w:numId w:val="3"/>
        </w:numPr>
        <w:spacing w:after="90" w:line="290"/>
      </w:pPr>
      <w:r>
        <w:rPr>
          <w:color w:val="202020"/>
          <w:sz w:val="21"/>
          <w:szCs w:val="21"/>
        </w:rPr>
        <w:t xml:space="preserve">A customer pays the company £100 for work done: cash (an asset) goes up by £100, AND profit goes up by £100 at the same time.</w:t>
      </w:r>
    </w:p>
    <w:p>
      <w:pPr>
        <w:pStyle w:val="ListParagraph"/>
        <w:numPr>
          <w:ilvl w:val="0"/>
          <w:numId w:val="3"/>
        </w:numPr>
        <w:spacing w:after="90" w:line="290"/>
      </w:pPr>
      <w:r>
        <w:rPr>
          <w:color w:val="202020"/>
          <w:sz w:val="21"/>
          <w:szCs w:val="21"/>
        </w:rPr>
        <w:t xml:space="preserve">The company pays a £20 electricity bill: cash (an asset) goes down by £20, AND profit goes down by £20 at the same time.</w:t>
      </w:r>
    </w:p>
    <w:p>
      <w:pPr>
        <w:pStyle w:val="ListParagraph"/>
        <w:numPr>
          <w:ilvl w:val="0"/>
          <w:numId w:val="3"/>
        </w:numPr>
        <w:spacing w:after="90" w:line="290"/>
      </w:pPr>
      <w:r>
        <w:rPr>
          <w:color w:val="202020"/>
          <w:sz w:val="21"/>
          <w:szCs w:val="21"/>
        </w:rPr>
        <w:t xml:space="preserve">The company buys a £500 laptop with cash: cash (an asset) goes down by £500, AND a different asset, fixed assets, goes up by £500. Two assets move, profit does not move at all, this is the transaction type that Section 3.1.9's capital allowances rules exist to handle.</w:t>
      </w:r>
    </w:p>
    <w:p>
      <w:pPr>
        <w:spacing w:after="150" w:line="300"/>
      </w:pPr>
      <w:r>
        <w:rPr>
          <w:color w:val="202020"/>
          <w:sz w:val="21"/>
          <w:szCs w:val="21"/>
        </w:rPr>
        <w:t xml:space="preserve">Profit is not a number that lives only in the Income Statement and stops there. Profit flows directly into "Capital and reserves" on the balance sheet, that is literally what the equity side of the balance sheet is made of: money the shareholders have put in, plus profit the company has made and not paid out. Because every transaction that changes an asset or liability also changes profit (and therefore equity) by the exact same amount, or changes two assets/liabilities against each other, the two sides of the balance sheet can never legitimately disagree. It is not a coincidence that needs checking after the fact, it is a mathematical consequence of how each transaction was recorded.</w:t>
      </w:r>
    </w:p>
    <w:p>
      <w:pPr>
        <w:pStyle w:val="Heading3"/>
        <w:spacing w:after="100" w:before="200"/>
      </w:pPr>
      <w:r>
        <w:t xml:space="preserve">3.0.2 What this means for how the software must be built</w:t>
      </w:r>
    </w:p>
    <w:p>
      <w:pPr>
        <w:spacing w:after="150" w:line="300"/>
      </w:pPr>
      <w:r>
        <w:rPr>
          <w:color w:val="202020"/>
          <w:sz w:val="21"/>
          <w:szCs w:val="21"/>
        </w:rPr>
        <w:t xml:space="preserve">Do not build the balance sheet as two separate forms, an "assets" form and an "equity" form, that the user fills in independently. Build it as one connected calculation: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shd w:fill="1F2937" w:color="auto" w:val="clear"/>
            <w:tcMar>
              <w:top w:type="dxa" w:w="160"/>
              <w:left w:type="dxa" w:w="200"/>
              <w:bottom w:type="dxa" w:w="160"/>
              <w:right w:type="dxa" w:w="200"/>
            </w:tcMar>
          </w:tcPr>
          <w:p>
            <w:pPr>
              <w:spacing w:after="40"/>
            </w:pPr>
            <w:r>
              <w:rPr>
                <w:rFonts w:ascii="Consolas" w:cs="Consolas" w:eastAsia="Consolas" w:hAnsi="Consolas"/>
                <w:color w:val="E5E7EB"/>
                <w:sz w:val="19"/>
                <w:szCs w:val="19"/>
              </w:rPr>
              <w:t xml:space="preserve">ASSET SIDE (built from the user's transactions/trial balance):</w:t>
            </w:r>
          </w:p>
          <w:p>
            <w:pPr>
              <w:spacing w:after="40"/>
            </w:pPr>
            <w:r>
              <w:rPr>
                <w:rFonts w:ascii="Consolas" w:cs="Consolas" w:eastAsia="Consolas" w:hAnsi="Consolas"/>
                <w:color w:val="E5E7EB"/>
                <w:sz w:val="19"/>
                <w:szCs w:val="19"/>
              </w:rPr>
              <w:t xml:space="preserve">  Net assets = Fixed assets + Current assets - Creditors (within 1yr)</w:t>
            </w:r>
          </w:p>
          <w:p>
            <w:pPr>
              <w:spacing w:after="40"/>
            </w:pPr>
            <w:r>
              <w:rPr>
                <w:rFonts w:ascii="Consolas" w:cs="Consolas" w:eastAsia="Consolas" w:hAnsi="Consolas"/>
                <w:color w:val="E5E7EB"/>
                <w:sz w:val="19"/>
                <w:szCs w:val="19"/>
              </w:rPr>
              <w:t xml:space="preserve">               - Creditors (after 1yr) - Provisions + Prepayments/accrued income</w:t>
            </w:r>
          </w:p>
          <w:p>
            <w:pPr>
              <w:spacing w:after="40"/>
            </w:pPr>
            <w:r>
              <w:rPr>
                <w:rFonts w:ascii="Consolas" w:cs="Consolas" w:eastAsia="Consolas" w:hAnsi="Consolas"/>
                <w:color w:val="E5E7EB"/>
                <w:sz w:val="19"/>
                <w:szCs w:val="19"/>
              </w:rPr>
              <w:t xml:space="preserve">               - Accruals/deferred income</w:t>
            </w:r>
          </w:p>
          <w:p>
            <w:pPr>
              <w:spacing w:after="40"/>
            </w:pPr>
            <w:r>
              <w:rPr>
                <w:rFonts w:ascii="Consolas" w:cs="Consolas" w:eastAsia="Consolas" w:hAnsi="Consolas"/>
                <w:color w:val="E5E7EB"/>
                <w:sz w:val="19"/>
                <w:szCs w:val="19"/>
              </w:rPr>
              <w:t xml:space="preserve"/>
            </w:r>
          </w:p>
          <w:p>
            <w:pPr>
              <w:spacing w:after="40"/>
            </w:pPr>
            <w:r>
              <w:rPr>
                <w:rFonts w:ascii="Consolas" w:cs="Consolas" w:eastAsia="Consolas" w:hAnsi="Consolas"/>
                <w:color w:val="E5E7EB"/>
                <w:sz w:val="19"/>
                <w:szCs w:val="19"/>
              </w:rPr>
              <w:t xml:space="preserve">EQUITY SIDE (derived, not separately entered):</w:t>
            </w:r>
          </w:p>
          <w:p>
            <w:pPr>
              <w:spacing w:after="40"/>
            </w:pPr>
            <w:r>
              <w:rPr>
                <w:rFonts w:ascii="Consolas" w:cs="Consolas" w:eastAsia="Consolas" w:hAnsi="Consolas"/>
                <w:color w:val="E5E7EB"/>
                <w:sz w:val="19"/>
                <w:szCs w:val="19"/>
              </w:rPr>
              <w:t xml:space="preserve">  Capital and reserves (this year) = Capital and reserves (last year's closing figure)</w:t>
            </w:r>
          </w:p>
          <w:p>
            <w:pPr>
              <w:spacing w:after="40"/>
            </w:pPr>
            <w:r>
              <w:rPr>
                <w:rFonts w:ascii="Consolas" w:cs="Consolas" w:eastAsia="Consolas" w:hAnsi="Consolas"/>
                <w:color w:val="E5E7EB"/>
                <w:sz w:val="19"/>
                <w:szCs w:val="19"/>
              </w:rPr>
              <w:t xml:space="preserve">                                      + Profit for the financial year (from the Income Statement)</w:t>
            </w:r>
          </w:p>
          <w:p>
            <w:pPr>
              <w:spacing w:after="40"/>
            </w:pPr>
            <w:r>
              <w:rPr>
                <w:rFonts w:ascii="Consolas" w:cs="Consolas" w:eastAsia="Consolas" w:hAnsi="Consolas"/>
                <w:color w:val="E5E7EB"/>
                <w:sz w:val="19"/>
                <w:szCs w:val="19"/>
              </w:rPr>
              <w:t xml:space="preserve">                                      - Dividends or drawings paid out during the year</w:t>
            </w:r>
          </w:p>
          <w:p>
            <w:pPr>
              <w:spacing w:after="40"/>
            </w:pPr>
            <w:r>
              <w:rPr>
                <w:rFonts w:ascii="Consolas" w:cs="Consolas" w:eastAsia="Consolas" w:hAnsi="Consolas"/>
                <w:color w:val="E5E7EB"/>
                <w:sz w:val="19"/>
                <w:szCs w:val="19"/>
              </w:rPr>
              <w:t xml:space="preserve">                                      +/- Any share capital issued or other reserve movements</w:t>
            </w:r>
          </w:p>
          <w:p>
            <w:pPr>
              <w:spacing w:after="40"/>
            </w:pPr>
            <w:r>
              <w:rPr>
                <w:rFonts w:ascii="Consolas" w:cs="Consolas" w:eastAsia="Consolas" w:hAnsi="Consolas"/>
                <w:color w:val="E5E7EB"/>
                <w:sz w:val="19"/>
                <w:szCs w:val="19"/>
              </w:rPr>
              <w:t xml:space="preserve"/>
            </w:r>
          </w:p>
          <w:p>
            <w:pPr>
              <w:spacing w:after="40"/>
            </w:pPr>
            <w:r>
              <w:rPr>
                <w:rFonts w:ascii="Consolas" w:cs="Consolas" w:eastAsia="Consolas" w:hAnsi="Consolas"/>
                <w:color w:val="E5E7EB"/>
                <w:sz w:val="19"/>
                <w:szCs w:val="19"/>
              </w:rPr>
              <w:t xml:space="preserve">THESE TWO MUST BE EQUAL. If they are not, there is a data-entry or classification</w:t>
            </w:r>
          </w:p>
          <w:p>
            <w:pPr>
              <w:spacing w:after="40"/>
            </w:pPr>
            <w:r>
              <w:rPr>
                <w:rFonts w:ascii="Consolas" w:cs="Consolas" w:eastAsia="Consolas" w:hAnsi="Consolas"/>
                <w:color w:val="E5E7EB"/>
                <w:sz w:val="19"/>
                <w:szCs w:val="19"/>
              </w:rPr>
              <w:t xml:space="preserve">error somewhere in the transactions, not a rounding quirk to wave through.</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8A1F2D" w:sz="4"/>
              <w:left w:val="single" w:color="8A1F2D" w:sz="4"/>
              <w:bottom w:val="single" w:color="8A1F2D" w:sz="4"/>
              <w:right w:val="single" w:color="8A1F2D" w:sz="4"/>
            </w:tcBorders>
            <w:shd w:fill="FCEEEE" w:color="auto" w:val="clear"/>
            <w:tcMar>
              <w:top w:type="dxa" w:w="140"/>
              <w:left w:type="dxa" w:w="200"/>
              <w:bottom w:type="dxa" w:w="140"/>
              <w:right w:type="dxa" w:w="200"/>
            </w:tcMar>
          </w:tcPr>
          <w:p>
            <w:pPr>
              <w:spacing w:after="60"/>
            </w:pPr>
            <w:r>
              <w:rPr>
                <w:b/>
                <w:bCs/>
                <w:color w:val="8A1F2D"/>
                <w:sz w:val="20"/>
                <w:szCs w:val="20"/>
              </w:rPr>
              <w:t xml:space="preserve">BUILD RULE 3.0.2a</w:t>
            </w:r>
          </w:p>
          <w:p>
            <w:pPr>
              <w:spacing w:after="0"/>
            </w:pPr>
            <w:r>
              <w:rPr>
                <w:color w:val="202020"/>
                <w:sz w:val="20"/>
                <w:szCs w:val="20"/>
              </w:rPr>
              <w:t xml:space="preserve">Fetch last year's closing Capital and reserves automatically from the company's own filing history (or from Companies House's public record of the prior filed accounts, the same digital-link principle already required in Rule 3.3.3), rather than asking the user to re-type it. This is also how the software should know a company's opening position on its very first filing: zero, or the incorporation share capital only.</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8A1F2D" w:sz="4"/>
              <w:left w:val="single" w:color="8A1F2D" w:sz="4"/>
              <w:bottom w:val="single" w:color="8A1F2D" w:sz="4"/>
              <w:right w:val="single" w:color="8A1F2D" w:sz="4"/>
            </w:tcBorders>
            <w:shd w:fill="FCEEEE" w:color="auto" w:val="clear"/>
            <w:tcMar>
              <w:top w:type="dxa" w:w="140"/>
              <w:left w:type="dxa" w:w="200"/>
              <w:bottom w:type="dxa" w:w="140"/>
              <w:right w:type="dxa" w:w="200"/>
            </w:tcMar>
          </w:tcPr>
          <w:p>
            <w:pPr>
              <w:spacing w:after="60"/>
            </w:pPr>
            <w:r>
              <w:rPr>
                <w:b/>
                <w:bCs/>
                <w:color w:val="8A1F2D"/>
                <w:sz w:val="20"/>
                <w:szCs w:val="20"/>
              </w:rPr>
              <w:t xml:space="preserve">BUILD RULE 3.0.2b, the reconciliation check</w:t>
            </w:r>
          </w:p>
          <w:p>
            <w:pPr>
              <w:spacing w:after="0"/>
            </w:pPr>
            <w:r>
              <w:rPr>
                <w:color w:val="202020"/>
                <w:sz w:val="20"/>
                <w:szCs w:val="20"/>
              </w:rPr>
              <w:t xml:space="preserve">After both sides are calculated, run an automatic check: Total net assets minus Capital and reserves must equal zero, within a £1 tolerance (this specific tolerance is TinyTax's own published validation rule, confirmed from their public API documentation, and is a reasonable practitioner standard to match). If the check fails, block submission and show the user a clear message that the accounts do not balance, rather than allowing a mismatched balance sheet to be filed. This single check catches a large share of data-entry bugs before they become a compliance problem.</w:t>
            </w:r>
          </w:p>
        </w:tc>
      </w:tr>
    </w:tbl>
    <w:p>
      <w:pPr>
        <w:pStyle w:val="Heading3"/>
        <w:spacing w:after="100" w:before="200"/>
      </w:pPr>
      <w:r>
        <w:t xml:space="preserve">3.0.3 Worked example: your own filed accounts, both years balance exactly</w:t>
      </w:r>
    </w:p>
    <w:p>
      <w:pPr>
        <w:spacing w:after="150" w:line="300"/>
      </w:pPr>
      <w:r>
        <w:rPr>
          <w:color w:val="202020"/>
          <w:sz w:val="21"/>
          <w:szCs w:val="21"/>
        </w:rPr>
        <w:t xml:space="preserve">DropLogicX Ltd's real filed micro-entity accounts for the year to 30 September 2025, filed via TinyTax, are a working example of Rule 3.0.2 in practice. The company holds no fixed assets, so its balance sheet has only current assets and creditors on the asset side, but the identity holds exactly in both years shown: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600"/>
        <w:gridCol w:w="2573"/>
        <w:gridCol w:w="2573"/>
      </w:tblGrid>
      <w:tr>
        <w:trPr>
          <w:tblHeader/>
        </w:trPr>
        <w:tc>
          <w:tcPr>
            <w:tcW w:type="dxa" w:w="4600"/>
            <w:shd w:fill="1F3A5F" w:color="auto" w:val="clear"/>
            <w:tcMar>
              <w:top w:type="dxa" w:w="80"/>
              <w:left w:type="dxa" w:w="100"/>
              <w:bottom w:type="dxa" w:w="80"/>
              <w:right w:type="dxa" w:w="100"/>
            </w:tcMar>
          </w:tcPr>
          <w:p>
            <w:pPr>
              <w:jc w:val="left"/>
            </w:pPr>
            <w:r>
              <w:rPr>
                <w:b/>
                <w:bCs/>
                <w:color w:val="FFFFFF"/>
                <w:sz w:val="18"/>
                <w:szCs w:val="18"/>
              </w:rPr>
              <w:t xml:space="preserve">Balance sheet line</w:t>
            </w:r>
          </w:p>
        </w:tc>
        <w:tc>
          <w:tcPr>
            <w:tcW w:type="dxa" w:w="2573"/>
            <w:shd w:fill="1F3A5F" w:color="auto" w:val="clear"/>
            <w:tcMar>
              <w:top w:type="dxa" w:w="80"/>
              <w:left w:type="dxa" w:w="100"/>
              <w:bottom w:type="dxa" w:w="80"/>
              <w:right w:type="dxa" w:w="100"/>
            </w:tcMar>
          </w:tcPr>
          <w:p>
            <w:pPr>
              <w:jc w:val="left"/>
            </w:pPr>
            <w:r>
              <w:rPr>
                <w:b/>
                <w:bCs/>
                <w:color w:val="FFFFFF"/>
                <w:sz w:val="18"/>
                <w:szCs w:val="18"/>
              </w:rPr>
              <w:t xml:space="preserve">2025 example</w:t>
            </w:r>
          </w:p>
        </w:tc>
        <w:tc>
          <w:tcPr>
            <w:tcW w:type="dxa" w:w="2573"/>
            <w:shd w:fill="1F3A5F" w:color="auto" w:val="clear"/>
            <w:tcMar>
              <w:top w:type="dxa" w:w="80"/>
              <w:left w:type="dxa" w:w="100"/>
              <w:bottom w:type="dxa" w:w="80"/>
              <w:right w:type="dxa" w:w="100"/>
            </w:tcMar>
          </w:tcPr>
          <w:p>
            <w:pPr>
              <w:jc w:val="left"/>
            </w:pPr>
            <w:r>
              <w:rPr>
                <w:b/>
                <w:bCs/>
                <w:color w:val="FFFFFF"/>
                <w:sz w:val="18"/>
                <w:szCs w:val="18"/>
              </w:rPr>
              <w:t xml:space="preserve">2024 example</w:t>
            </w:r>
          </w:p>
        </w:tc>
      </w:tr>
      <w:tr>
        <w:tc>
          <w:tcPr>
            <w:tcW w:type="dxa" w:w="4600"/>
            <w:tcMar>
              <w:top w:type="dxa" w:w="80"/>
              <w:left w:type="dxa" w:w="100"/>
              <w:bottom w:type="dxa" w:w="80"/>
              <w:right w:type="dxa" w:w="100"/>
            </w:tcMar>
          </w:tcPr>
          <w:p>
            <w:pPr>
              <w:jc w:val="left"/>
            </w:pPr>
            <w:r>
              <w:rPr>
                <w:b w:val="false"/>
                <w:bCs w:val="false"/>
                <w:color w:val="202020"/>
                <w:sz w:val="18"/>
                <w:szCs w:val="18"/>
              </w:rPr>
              <w:t xml:space="preserve">Called up share capital not paid</w:t>
            </w:r>
          </w:p>
        </w:tc>
        <w:tc>
          <w:tcPr>
            <w:tcW w:type="dxa" w:w="2573"/>
            <w:tcMar>
              <w:top w:type="dxa" w:w="80"/>
              <w:left w:type="dxa" w:w="100"/>
              <w:bottom w:type="dxa" w:w="80"/>
              <w:right w:type="dxa" w:w="100"/>
            </w:tcMar>
          </w:tcPr>
          <w:p>
            <w:pPr>
              <w:jc w:val="left"/>
            </w:pPr>
            <w:r>
              <w:rPr>
                <w:b w:val="false"/>
                <w:bCs w:val="false"/>
                <w:color w:val="202020"/>
                <w:sz w:val="18"/>
                <w:szCs w:val="18"/>
              </w:rPr>
              <w:t xml:space="preserve">£0</w:t>
            </w:r>
          </w:p>
        </w:tc>
        <w:tc>
          <w:tcPr>
            <w:tcW w:type="dxa" w:w="2573"/>
            <w:tcMar>
              <w:top w:type="dxa" w:w="80"/>
              <w:left w:type="dxa" w:w="100"/>
              <w:bottom w:type="dxa" w:w="80"/>
              <w:right w:type="dxa" w:w="100"/>
            </w:tcMar>
          </w:tcPr>
          <w:p>
            <w:pPr>
              <w:jc w:val="left"/>
            </w:pPr>
            <w:r>
              <w:rPr>
                <w:b w:val="false"/>
                <w:bCs w:val="false"/>
                <w:color w:val="202020"/>
                <w:sz w:val="18"/>
                <w:szCs w:val="18"/>
              </w:rPr>
              <w:t xml:space="preserve">£1</w:t>
            </w:r>
          </w:p>
        </w:tc>
      </w:tr>
      <w:tr>
        <w:tc>
          <w:tcPr>
            <w:tcW w:type="dxa" w:w="4600"/>
            <w:shd w:fill="F2F2F2" w:color="auto" w:val="clear"/>
            <w:tcMar>
              <w:top w:type="dxa" w:w="80"/>
              <w:left w:type="dxa" w:w="100"/>
              <w:bottom w:type="dxa" w:w="80"/>
              <w:right w:type="dxa" w:w="100"/>
            </w:tcMar>
          </w:tcPr>
          <w:p>
            <w:pPr>
              <w:jc w:val="left"/>
            </w:pPr>
            <w:r>
              <w:rPr>
                <w:b w:val="false"/>
                <w:bCs w:val="false"/>
                <w:color w:val="202020"/>
                <w:sz w:val="18"/>
                <w:szCs w:val="18"/>
              </w:rPr>
              <w:t xml:space="preserve">Fixed assets (tangible/intangible)</w:t>
            </w:r>
          </w:p>
        </w:tc>
        <w:tc>
          <w:tcPr>
            <w:tcW w:type="dxa" w:w="2573"/>
            <w:shd w:fill="F2F2F2" w:color="auto" w:val="clear"/>
            <w:tcMar>
              <w:top w:type="dxa" w:w="80"/>
              <w:left w:type="dxa" w:w="100"/>
              <w:bottom w:type="dxa" w:w="80"/>
              <w:right w:type="dxa" w:w="100"/>
            </w:tcMar>
          </w:tcPr>
          <w:p>
            <w:pPr>
              <w:jc w:val="left"/>
            </w:pPr>
            <w:r>
              <w:rPr>
                <w:b w:val="false"/>
                <w:bCs w:val="false"/>
                <w:color w:val="202020"/>
                <w:sz w:val="18"/>
                <w:szCs w:val="18"/>
              </w:rPr>
              <w:t xml:space="preserve">£0, none held</w:t>
            </w:r>
          </w:p>
        </w:tc>
        <w:tc>
          <w:tcPr>
            <w:tcW w:type="dxa" w:w="2573"/>
            <w:shd w:fill="F2F2F2" w:color="auto" w:val="clear"/>
            <w:tcMar>
              <w:top w:type="dxa" w:w="80"/>
              <w:left w:type="dxa" w:w="100"/>
              <w:bottom w:type="dxa" w:w="80"/>
              <w:right w:type="dxa" w:w="100"/>
            </w:tcMar>
          </w:tcPr>
          <w:p>
            <w:pPr>
              <w:jc w:val="left"/>
            </w:pPr>
            <w:r>
              <w:rPr>
                <w:b w:val="false"/>
                <w:bCs w:val="false"/>
                <w:color w:val="202020"/>
                <w:sz w:val="18"/>
                <w:szCs w:val="18"/>
              </w:rPr>
              <w:t xml:space="preserve">£0, none held</w:t>
            </w:r>
          </w:p>
        </w:tc>
      </w:tr>
      <w:tr>
        <w:tc>
          <w:tcPr>
            <w:tcW w:type="dxa" w:w="4600"/>
            <w:tcMar>
              <w:top w:type="dxa" w:w="80"/>
              <w:left w:type="dxa" w:w="100"/>
              <w:bottom w:type="dxa" w:w="80"/>
              <w:right w:type="dxa" w:w="100"/>
            </w:tcMar>
          </w:tcPr>
          <w:p>
            <w:pPr>
              <w:jc w:val="left"/>
            </w:pPr>
            <w:r>
              <w:rPr>
                <w:b w:val="false"/>
                <w:bCs w:val="false"/>
                <w:color w:val="202020"/>
                <w:sz w:val="18"/>
                <w:szCs w:val="18"/>
              </w:rPr>
              <w:t xml:space="preserve">Current assets (stocks + debtors + cash)</w:t>
            </w:r>
          </w:p>
        </w:tc>
        <w:tc>
          <w:tcPr>
            <w:tcW w:type="dxa" w:w="2573"/>
            <w:tcMar>
              <w:top w:type="dxa" w:w="80"/>
              <w:left w:type="dxa" w:w="100"/>
              <w:bottom w:type="dxa" w:w="80"/>
              <w:right w:type="dxa" w:w="100"/>
            </w:tcMar>
          </w:tcPr>
          <w:p>
            <w:pPr>
              <w:jc w:val="left"/>
            </w:pPr>
            <w:r>
              <w:rPr>
                <w:b w:val="false"/>
                <w:bCs w:val="false"/>
                <w:color w:val="202020"/>
                <w:sz w:val="18"/>
                <w:szCs w:val="18"/>
              </w:rPr>
              <w:t xml:space="preserve">£3,380</w:t>
            </w:r>
          </w:p>
        </w:tc>
        <w:tc>
          <w:tcPr>
            <w:tcW w:type="dxa" w:w="2573"/>
            <w:tcMar>
              <w:top w:type="dxa" w:w="80"/>
              <w:left w:type="dxa" w:w="100"/>
              <w:bottom w:type="dxa" w:w="80"/>
              <w:right w:type="dxa" w:w="100"/>
            </w:tcMar>
          </w:tcPr>
          <w:p>
            <w:pPr>
              <w:jc w:val="left"/>
            </w:pPr>
            <w:r>
              <w:rPr>
                <w:b w:val="false"/>
                <w:bCs w:val="false"/>
                <w:color w:val="202020"/>
                <w:sz w:val="18"/>
                <w:szCs w:val="18"/>
              </w:rPr>
              <w:t xml:space="preserve">£5,784</w:t>
            </w:r>
          </w:p>
        </w:tc>
      </w:tr>
      <w:tr>
        <w:tc>
          <w:tcPr>
            <w:tcW w:type="dxa" w:w="4600"/>
            <w:shd w:fill="F2F2F2" w:color="auto" w:val="clear"/>
            <w:tcMar>
              <w:top w:type="dxa" w:w="80"/>
              <w:left w:type="dxa" w:w="100"/>
              <w:bottom w:type="dxa" w:w="80"/>
              <w:right w:type="dxa" w:w="100"/>
            </w:tcMar>
          </w:tcPr>
          <w:p>
            <w:pPr>
              <w:jc w:val="left"/>
            </w:pPr>
            <w:r>
              <w:rPr>
                <w:b w:val="false"/>
                <w:bCs w:val="false"/>
                <w:color w:val="202020"/>
                <w:sz w:val="18"/>
                <w:szCs w:val="18"/>
              </w:rPr>
              <w:t xml:space="preserve">Prepayments and accrued income</w:t>
            </w:r>
          </w:p>
        </w:tc>
        <w:tc>
          <w:tcPr>
            <w:tcW w:type="dxa" w:w="2573"/>
            <w:shd w:fill="F2F2F2" w:color="auto" w:val="clear"/>
            <w:tcMar>
              <w:top w:type="dxa" w:w="80"/>
              <w:left w:type="dxa" w:w="100"/>
              <w:bottom w:type="dxa" w:w="80"/>
              <w:right w:type="dxa" w:w="100"/>
            </w:tcMar>
          </w:tcPr>
          <w:p>
            <w:pPr>
              <w:jc w:val="left"/>
            </w:pPr>
            <w:r>
              <w:rPr>
                <w:b w:val="false"/>
                <w:bCs w:val="false"/>
                <w:color w:val="202020"/>
                <w:sz w:val="18"/>
                <w:szCs w:val="18"/>
              </w:rPr>
              <w:t xml:space="preserve">£0 in this example</w:t>
            </w:r>
          </w:p>
        </w:tc>
        <w:tc>
          <w:tcPr>
            <w:tcW w:type="dxa" w:w="2573"/>
            <w:shd w:fill="F2F2F2" w:color="auto" w:val="clear"/>
            <w:tcMar>
              <w:top w:type="dxa" w:w="80"/>
              <w:left w:type="dxa" w:w="100"/>
              <w:bottom w:type="dxa" w:w="80"/>
              <w:right w:type="dxa" w:w="100"/>
            </w:tcMar>
          </w:tcPr>
          <w:p>
            <w:pPr>
              <w:jc w:val="left"/>
            </w:pPr>
            <w:r>
              <w:rPr>
                <w:b w:val="false"/>
                <w:bCs w:val="false"/>
                <w:color w:val="202020"/>
                <w:sz w:val="18"/>
                <w:szCs w:val="18"/>
              </w:rPr>
              <w:t xml:space="preserve">£0 in this example</w:t>
            </w:r>
          </w:p>
        </w:tc>
      </w:tr>
      <w:tr>
        <w:tc>
          <w:tcPr>
            <w:tcW w:type="dxa" w:w="4600"/>
            <w:tcMar>
              <w:top w:type="dxa" w:w="80"/>
              <w:left w:type="dxa" w:w="100"/>
              <w:bottom w:type="dxa" w:w="80"/>
              <w:right w:type="dxa" w:w="100"/>
            </w:tcMar>
          </w:tcPr>
          <w:p>
            <w:pPr>
              <w:jc w:val="left"/>
            </w:pPr>
            <w:r>
              <w:rPr>
                <w:b w:val="false"/>
                <w:bCs w:val="false"/>
                <w:color w:val="202020"/>
                <w:sz w:val="18"/>
                <w:szCs w:val="18"/>
              </w:rPr>
              <w:t xml:space="preserve">Creditors: amounts falling due within one year</w:t>
            </w:r>
          </w:p>
        </w:tc>
        <w:tc>
          <w:tcPr>
            <w:tcW w:type="dxa" w:w="2573"/>
            <w:tcMar>
              <w:top w:type="dxa" w:w="80"/>
              <w:left w:type="dxa" w:w="100"/>
              <w:bottom w:type="dxa" w:w="80"/>
              <w:right w:type="dxa" w:w="100"/>
            </w:tcMar>
          </w:tcPr>
          <w:p>
            <w:pPr>
              <w:jc w:val="left"/>
            </w:pPr>
            <w:r>
              <w:rPr>
                <w:b w:val="false"/>
                <w:bCs w:val="false"/>
                <w:color w:val="202020"/>
                <w:sz w:val="18"/>
                <w:szCs w:val="18"/>
              </w:rPr>
              <w:t xml:space="preserve">(£188)</w:t>
            </w:r>
          </w:p>
        </w:tc>
        <w:tc>
          <w:tcPr>
            <w:tcW w:type="dxa" w:w="2573"/>
            <w:tcMar>
              <w:top w:type="dxa" w:w="80"/>
              <w:left w:type="dxa" w:w="100"/>
              <w:bottom w:type="dxa" w:w="80"/>
              <w:right w:type="dxa" w:w="100"/>
            </w:tcMar>
          </w:tcPr>
          <w:p>
            <w:pPr>
              <w:jc w:val="left"/>
            </w:pPr>
            <w:r>
              <w:rPr>
                <w:b w:val="false"/>
                <w:bCs w:val="false"/>
                <w:color w:val="202020"/>
                <w:sz w:val="18"/>
                <w:szCs w:val="18"/>
              </w:rPr>
              <w:t xml:space="preserve">(£345)</w:t>
            </w:r>
          </w:p>
        </w:tc>
      </w:tr>
      <w:tr>
        <w:tc>
          <w:tcPr>
            <w:tcW w:type="dxa" w:w="4600"/>
            <w:shd w:fill="F2F2F2" w:color="auto" w:val="clear"/>
            <w:tcMar>
              <w:top w:type="dxa" w:w="80"/>
              <w:left w:type="dxa" w:w="100"/>
              <w:bottom w:type="dxa" w:w="80"/>
              <w:right w:type="dxa" w:w="100"/>
            </w:tcMar>
          </w:tcPr>
          <w:p>
            <w:pPr>
              <w:jc w:val="left"/>
            </w:pPr>
            <w:r>
              <w:rPr>
                <w:b w:val="false"/>
                <w:bCs w:val="false"/>
                <w:color w:val="202020"/>
                <w:sz w:val="18"/>
                <w:szCs w:val="18"/>
              </w:rPr>
              <w:t xml:space="preserve">NET CURRENT ASSETS (LIABILITIES)</w:t>
            </w:r>
          </w:p>
        </w:tc>
        <w:tc>
          <w:tcPr>
            <w:tcW w:type="dxa" w:w="2573"/>
            <w:shd w:fill="F2F2F2" w:color="auto" w:val="clear"/>
            <w:tcMar>
              <w:top w:type="dxa" w:w="80"/>
              <w:left w:type="dxa" w:w="100"/>
              <w:bottom w:type="dxa" w:w="80"/>
              <w:right w:type="dxa" w:w="100"/>
            </w:tcMar>
          </w:tcPr>
          <w:p>
            <w:pPr>
              <w:jc w:val="left"/>
            </w:pPr>
            <w:r>
              <w:rPr>
                <w:b w:val="false"/>
                <w:bCs w:val="false"/>
                <w:color w:val="202020"/>
                <w:sz w:val="18"/>
                <w:szCs w:val="18"/>
              </w:rPr>
              <w:t xml:space="preserve">£3,192</w:t>
            </w:r>
          </w:p>
        </w:tc>
        <w:tc>
          <w:tcPr>
            <w:tcW w:type="dxa" w:w="2573"/>
            <w:shd w:fill="F2F2F2" w:color="auto" w:val="clear"/>
            <w:tcMar>
              <w:top w:type="dxa" w:w="80"/>
              <w:left w:type="dxa" w:w="100"/>
              <w:bottom w:type="dxa" w:w="80"/>
              <w:right w:type="dxa" w:w="100"/>
            </w:tcMar>
          </w:tcPr>
          <w:p>
            <w:pPr>
              <w:jc w:val="left"/>
            </w:pPr>
            <w:r>
              <w:rPr>
                <w:b w:val="false"/>
                <w:bCs w:val="false"/>
                <w:color w:val="202020"/>
                <w:sz w:val="18"/>
                <w:szCs w:val="18"/>
              </w:rPr>
              <w:t xml:space="preserve">£5,439</w:t>
            </w:r>
          </w:p>
        </w:tc>
      </w:tr>
      <w:tr>
        <w:tc>
          <w:tcPr>
            <w:tcW w:type="dxa" w:w="4600"/>
            <w:tcMar>
              <w:top w:type="dxa" w:w="80"/>
              <w:left w:type="dxa" w:w="100"/>
              <w:bottom w:type="dxa" w:w="80"/>
              <w:right w:type="dxa" w:w="100"/>
            </w:tcMar>
          </w:tcPr>
          <w:p>
            <w:pPr>
              <w:jc w:val="left"/>
            </w:pPr>
            <w:r>
              <w:rPr>
                <w:b w:val="false"/>
                <w:bCs w:val="false"/>
                <w:color w:val="202020"/>
                <w:sz w:val="18"/>
                <w:szCs w:val="18"/>
              </w:rPr>
              <w:t xml:space="preserve">Total assets less current liabilities</w:t>
            </w:r>
          </w:p>
        </w:tc>
        <w:tc>
          <w:tcPr>
            <w:tcW w:type="dxa" w:w="2573"/>
            <w:tcMar>
              <w:top w:type="dxa" w:w="80"/>
              <w:left w:type="dxa" w:w="100"/>
              <w:bottom w:type="dxa" w:w="80"/>
              <w:right w:type="dxa" w:w="100"/>
            </w:tcMar>
          </w:tcPr>
          <w:p>
            <w:pPr>
              <w:jc w:val="left"/>
            </w:pPr>
            <w:r>
              <w:rPr>
                <w:b w:val="false"/>
                <w:bCs w:val="false"/>
                <w:color w:val="202020"/>
                <w:sz w:val="18"/>
                <w:szCs w:val="18"/>
              </w:rPr>
              <w:t xml:space="preserve">£3,192</w:t>
            </w:r>
          </w:p>
        </w:tc>
        <w:tc>
          <w:tcPr>
            <w:tcW w:type="dxa" w:w="2573"/>
            <w:tcMar>
              <w:top w:type="dxa" w:w="80"/>
              <w:left w:type="dxa" w:w="100"/>
              <w:bottom w:type="dxa" w:w="80"/>
              <w:right w:type="dxa" w:w="100"/>
            </w:tcMar>
          </w:tcPr>
          <w:p>
            <w:pPr>
              <w:jc w:val="left"/>
            </w:pPr>
            <w:r>
              <w:rPr>
                <w:b w:val="false"/>
                <w:bCs w:val="false"/>
                <w:color w:val="202020"/>
                <w:sz w:val="18"/>
                <w:szCs w:val="18"/>
              </w:rPr>
              <w:t xml:space="preserve">£5,440</w:t>
            </w:r>
          </w:p>
        </w:tc>
      </w:tr>
      <w:tr>
        <w:tc>
          <w:tcPr>
            <w:tcW w:type="dxa" w:w="4600"/>
            <w:shd w:fill="F2F2F2" w:color="auto" w:val="clear"/>
            <w:tcMar>
              <w:top w:type="dxa" w:w="80"/>
              <w:left w:type="dxa" w:w="100"/>
              <w:bottom w:type="dxa" w:w="80"/>
              <w:right w:type="dxa" w:w="100"/>
            </w:tcMar>
          </w:tcPr>
          <w:p>
            <w:pPr>
              <w:jc w:val="left"/>
            </w:pPr>
            <w:r>
              <w:rPr>
                <w:b w:val="false"/>
                <w:bCs w:val="false"/>
                <w:color w:val="202020"/>
                <w:sz w:val="18"/>
                <w:szCs w:val="18"/>
              </w:rPr>
              <w:t xml:space="preserve">Creditors: due after more than one year / Provisions / Accruals and deferred income</w:t>
            </w:r>
          </w:p>
        </w:tc>
        <w:tc>
          <w:tcPr>
            <w:tcW w:type="dxa" w:w="2573"/>
            <w:shd w:fill="F2F2F2" w:color="auto" w:val="clear"/>
            <w:tcMar>
              <w:top w:type="dxa" w:w="80"/>
              <w:left w:type="dxa" w:w="100"/>
              <w:bottom w:type="dxa" w:w="80"/>
              <w:right w:type="dxa" w:w="100"/>
            </w:tcMar>
          </w:tcPr>
          <w:p>
            <w:pPr>
              <w:jc w:val="left"/>
            </w:pPr>
            <w:r>
              <w:rPr>
                <w:b w:val="false"/>
                <w:bCs w:val="false"/>
                <w:color w:val="202020"/>
                <w:sz w:val="18"/>
                <w:szCs w:val="18"/>
              </w:rPr>
              <w:t xml:space="preserve">£0 in this example</w:t>
            </w:r>
          </w:p>
        </w:tc>
        <w:tc>
          <w:tcPr>
            <w:tcW w:type="dxa" w:w="2573"/>
            <w:shd w:fill="F2F2F2" w:color="auto" w:val="clear"/>
            <w:tcMar>
              <w:top w:type="dxa" w:w="80"/>
              <w:left w:type="dxa" w:w="100"/>
              <w:bottom w:type="dxa" w:w="80"/>
              <w:right w:type="dxa" w:w="100"/>
            </w:tcMar>
          </w:tcPr>
          <w:p>
            <w:pPr>
              <w:jc w:val="left"/>
            </w:pPr>
            <w:r>
              <w:rPr>
                <w:b w:val="false"/>
                <w:bCs w:val="false"/>
                <w:color w:val="202020"/>
                <w:sz w:val="18"/>
                <w:szCs w:val="18"/>
              </w:rPr>
              <w:t xml:space="preserve">£0 in this example</w:t>
            </w:r>
          </w:p>
        </w:tc>
      </w:tr>
      <w:tr>
        <w:tc>
          <w:tcPr>
            <w:tcW w:type="dxa" w:w="4600"/>
            <w:tcMar>
              <w:top w:type="dxa" w:w="80"/>
              <w:left w:type="dxa" w:w="100"/>
              <w:bottom w:type="dxa" w:w="80"/>
              <w:right w:type="dxa" w:w="100"/>
            </w:tcMar>
          </w:tcPr>
          <w:p>
            <w:pPr>
              <w:jc w:val="left"/>
            </w:pPr>
            <w:r>
              <w:rPr>
                <w:b w:val="false"/>
                <w:bCs w:val="false"/>
                <w:color w:val="202020"/>
                <w:sz w:val="18"/>
                <w:szCs w:val="18"/>
              </w:rPr>
              <w:t xml:space="preserve">TOTAL NET ASSETS (LIABILITIES), the asset side</w:t>
            </w:r>
          </w:p>
        </w:tc>
        <w:tc>
          <w:tcPr>
            <w:tcW w:type="dxa" w:w="2573"/>
            <w:tcMar>
              <w:top w:type="dxa" w:w="80"/>
              <w:left w:type="dxa" w:w="100"/>
              <w:bottom w:type="dxa" w:w="80"/>
              <w:right w:type="dxa" w:w="100"/>
            </w:tcMar>
          </w:tcPr>
          <w:p>
            <w:pPr>
              <w:jc w:val="left"/>
            </w:pPr>
            <w:r>
              <w:rPr>
                <w:b w:val="false"/>
                <w:bCs w:val="false"/>
                <w:color w:val="202020"/>
                <w:sz w:val="18"/>
                <w:szCs w:val="18"/>
              </w:rPr>
              <w:t xml:space="preserve">£3,192</w:t>
            </w:r>
          </w:p>
        </w:tc>
        <w:tc>
          <w:tcPr>
            <w:tcW w:type="dxa" w:w="2573"/>
            <w:tcMar>
              <w:top w:type="dxa" w:w="80"/>
              <w:left w:type="dxa" w:w="100"/>
              <w:bottom w:type="dxa" w:w="80"/>
              <w:right w:type="dxa" w:w="100"/>
            </w:tcMar>
          </w:tcPr>
          <w:p>
            <w:pPr>
              <w:jc w:val="left"/>
            </w:pPr>
            <w:r>
              <w:rPr>
                <w:b w:val="false"/>
                <w:bCs w:val="false"/>
                <w:color w:val="202020"/>
                <w:sz w:val="18"/>
                <w:szCs w:val="18"/>
              </w:rPr>
              <w:t xml:space="preserve">£5,440</w:t>
            </w:r>
          </w:p>
        </w:tc>
      </w:tr>
      <w:tr>
        <w:tc>
          <w:tcPr>
            <w:tcW w:type="dxa" w:w="4600"/>
            <w:shd w:fill="F2F2F2" w:color="auto" w:val="clear"/>
            <w:tcMar>
              <w:top w:type="dxa" w:w="80"/>
              <w:left w:type="dxa" w:w="100"/>
              <w:bottom w:type="dxa" w:w="80"/>
              <w:right w:type="dxa" w:w="100"/>
            </w:tcMar>
          </w:tcPr>
          <w:p>
            <w:pPr>
              <w:jc w:val="left"/>
            </w:pPr>
            <w:r>
              <w:rPr>
                <w:b w:val="false"/>
                <w:bCs w:val="false"/>
                <w:color w:val="202020"/>
                <w:sz w:val="18"/>
                <w:szCs w:val="18"/>
              </w:rPr>
              <w:t xml:space="preserve">CAPITAL AND RESERVES, the equity side</w:t>
            </w:r>
          </w:p>
        </w:tc>
        <w:tc>
          <w:tcPr>
            <w:tcW w:type="dxa" w:w="2573"/>
            <w:shd w:fill="F2F2F2" w:color="auto" w:val="clear"/>
            <w:tcMar>
              <w:top w:type="dxa" w:w="80"/>
              <w:left w:type="dxa" w:w="100"/>
              <w:bottom w:type="dxa" w:w="80"/>
              <w:right w:type="dxa" w:w="100"/>
            </w:tcMar>
          </w:tcPr>
          <w:p>
            <w:pPr>
              <w:jc w:val="left"/>
            </w:pPr>
            <w:r>
              <w:rPr>
                <w:b w:val="false"/>
                <w:bCs w:val="false"/>
                <w:color w:val="202020"/>
                <w:sz w:val="18"/>
                <w:szCs w:val="18"/>
              </w:rPr>
              <w:t xml:space="preserve">£3,192</w:t>
            </w:r>
          </w:p>
        </w:tc>
        <w:tc>
          <w:tcPr>
            <w:tcW w:type="dxa" w:w="2573"/>
            <w:shd w:fill="F2F2F2" w:color="auto" w:val="clear"/>
            <w:tcMar>
              <w:top w:type="dxa" w:w="80"/>
              <w:left w:type="dxa" w:w="100"/>
              <w:bottom w:type="dxa" w:w="80"/>
              <w:right w:type="dxa" w:w="100"/>
            </w:tcMar>
          </w:tcPr>
          <w:p>
            <w:pPr>
              <w:jc w:val="left"/>
            </w:pPr>
            <w:r>
              <w:rPr>
                <w:b w:val="false"/>
                <w:bCs w:val="false"/>
                <w:color w:val="202020"/>
                <w:sz w:val="18"/>
                <w:szCs w:val="18"/>
              </w:rPr>
              <w:t xml:space="preserve">£5,440</w:t>
            </w:r>
          </w:p>
        </w:tc>
      </w:tr>
    </w:tbl>
    <w:p>
      <w:pPr>
        <w:spacing w:after="220" w:before="60"/>
      </w:pPr>
      <w:r>
        <w:rPr>
          <w:i/>
          <w:iCs/>
          <w:color w:val="595959"/>
          <w:sz w:val="17"/>
          <w:szCs w:val="17"/>
        </w:rPr>
        <w:t xml:space="preserve">Real filed accounts. Note the two bottom rows are identical in both years, £3,192 and £5,440, without either figure being independently typed in twice.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8A1F2D" w:sz="4"/>
              <w:left w:val="single" w:color="8A1F2D" w:sz="4"/>
              <w:bottom w:val="single" w:color="8A1F2D" w:sz="4"/>
              <w:right w:val="single" w:color="8A1F2D" w:sz="4"/>
            </w:tcBorders>
            <w:shd w:fill="FCEEEE" w:color="auto" w:val="clear"/>
            <w:tcMar>
              <w:top w:type="dxa" w:w="140"/>
              <w:left w:type="dxa" w:w="200"/>
              <w:bottom w:type="dxa" w:w="140"/>
              <w:right w:type="dxa" w:w="200"/>
            </w:tcMar>
          </w:tcPr>
          <w:p>
            <w:pPr>
              <w:spacing w:after="60"/>
            </w:pPr>
            <w:r>
              <w:rPr>
                <w:b/>
                <w:bCs/>
                <w:color w:val="8A1F2D"/>
                <w:sz w:val="20"/>
                <w:szCs w:val="20"/>
              </w:rPr>
              <w:t xml:space="preserve">BUILD RULE 3.0.3</w:t>
            </w:r>
          </w:p>
          <w:p>
            <w:pPr>
              <w:spacing w:after="0"/>
            </w:pPr>
            <w:r>
              <w:rPr>
                <w:color w:val="202020"/>
                <w:sz w:val="20"/>
                <w:szCs w:val="20"/>
              </w:rPr>
              <w:t xml:space="preserve">This is also why capital allowances (Section 3.1.9) never appeared when filing these particular accounts: the company bought no fixed assets that year, so the Fixed Assets line is £0 and there was nothing to run a capital allowances calculation against. The platform must only surface the capital allowances question when the user reports a fixed-asset addition, exactly as TinyTax did here by asking nothing.</w:t>
            </w:r>
          </w:p>
        </w:tc>
      </w:tr>
    </w:tbl>
    <w:p>
      <w:pPr>
        <w:pStyle w:val="Heading3"/>
        <w:spacing w:after="100" w:before="200"/>
      </w:pPr>
      <w:r>
        <w:t xml:space="preserve">3.0.4 The trap the balancing check will NOT catch</w:t>
      </w:r>
    </w:p>
    <w:p>
      <w:pPr>
        <w:spacing w:after="150" w:line="300"/>
      </w:pPr>
      <w:r>
        <w:rPr>
          <w:color w:val="202020"/>
          <w:sz w:val="21"/>
          <w:szCs w:val="21"/>
        </w:rPr>
        <w:t xml:space="preserve">Double-entry guarantees the balance sheet balances even when a transaction is classified wrongly, because both sides still move together. This is the important, easy-to-miss point: balancing is not the same as being tax-correct.</w:t>
      </w:r>
    </w:p>
    <w:p>
      <w:pPr>
        <w:spacing w:after="150" w:line="300"/>
      </w:pPr>
      <w:r>
        <w:rPr>
          <w:color w:val="202020"/>
          <w:sz w:val="21"/>
          <w:szCs w:val="21"/>
        </w:rPr>
        <w:t xml:space="preserve">If a user buys a £2,000 laptop and it gets entered as a day-to-day expense ("Other charges" on the Income Statement) instead of as a Fixed Asset addition, the balance sheet will still balance perfectly, cash goes down £2,000 and profit goes down £2,000, both sides move together, the reconciliation check in Rule 3.0.2b will pass. But the tax computation will now be wrong: the full £2,000 has been deducted immediately as a revenue expense, when it should have gone through the disallowable-expense add-back (Rule 3.1.10) and then the capital allowances calculation (Rule 3.1.9) instead, which may produce a different result depending on AIA availability.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8A1F2D" w:sz="4"/>
              <w:left w:val="single" w:color="8A1F2D" w:sz="4"/>
              <w:bottom w:val="single" w:color="8A1F2D" w:sz="4"/>
              <w:right w:val="single" w:color="8A1F2D" w:sz="4"/>
            </w:tcBorders>
            <w:shd w:fill="FCEEEE" w:color="auto" w:val="clear"/>
            <w:tcMar>
              <w:top w:type="dxa" w:w="140"/>
              <w:left w:type="dxa" w:w="200"/>
              <w:bottom w:type="dxa" w:w="140"/>
              <w:right w:type="dxa" w:w="200"/>
            </w:tcMar>
          </w:tcPr>
          <w:p>
            <w:pPr>
              <w:spacing w:after="60"/>
            </w:pPr>
            <w:r>
              <w:rPr>
                <w:b/>
                <w:bCs/>
                <w:color w:val="8A1F2D"/>
                <w:sz w:val="20"/>
                <w:szCs w:val="20"/>
              </w:rPr>
              <w:t xml:space="preserve">BUILD RULE 3.0.4</w:t>
            </w:r>
          </w:p>
          <w:p>
            <w:pPr>
              <w:spacing w:after="0"/>
            </w:pPr>
            <w:r>
              <w:rPr>
                <w:color w:val="202020"/>
                <w:sz w:val="20"/>
                <w:szCs w:val="20"/>
              </w:rPr>
              <w:t xml:space="preserve">At the point of data entry, ask the user a plain-English classifying question for any individually significant purchase: "will this be used in the business for more than a year (equipment, machinery, a vehicle), or is this a day-to-day running cost?" Route the answer to the correct side of the balance sheet before any calculation runs. A passing reconciliation check (Rule 3.0.2b) is proof the books balance, it is not proof the tax computation is correct, these are two separate checks and both are required.</w:t>
            </w:r>
          </w:p>
        </w:tc>
      </w:tr>
    </w:tbl>
    <w:p>
      <w:pPr>
        <w:pStyle w:val="Heading2"/>
        <w:spacing w:after="140" w:before="300"/>
      </w:pPr>
      <w:r>
        <w:t xml:space="preserve">3.1 Corporation Tax (CT600)</w:t>
      </w:r>
    </w:p>
    <w:p>
      <w:pPr>
        <w:pStyle w:val="Heading3"/>
        <w:spacing w:after="100" w:before="200"/>
      </w:pPr>
      <w:r>
        <w:t xml:space="preserve">3.1.1 Rates, current for 2026/27</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3946"/>
      </w:tblGrid>
      <w:tr>
        <w:trPr>
          <w:tblHeader/>
        </w:trPr>
        <w:tc>
          <w:tcPr>
            <w:tcW w:type="dxa" w:w="3200"/>
            <w:shd w:fill="1F3A5F" w:color="auto" w:val="clear"/>
            <w:tcMar>
              <w:top w:type="dxa" w:w="80"/>
              <w:left w:type="dxa" w:w="100"/>
              <w:bottom w:type="dxa" w:w="80"/>
              <w:right w:type="dxa" w:w="100"/>
            </w:tcMar>
          </w:tcPr>
          <w:p>
            <w:pPr>
              <w:jc w:val="left"/>
            </w:pPr>
            <w:r>
              <w:rPr>
                <w:b/>
                <w:bCs/>
                <w:color w:val="FFFFFF"/>
                <w:sz w:val="18"/>
                <w:szCs w:val="18"/>
              </w:rPr>
              <w:t xml:space="preserve">Band</w:t>
            </w:r>
          </w:p>
        </w:tc>
        <w:tc>
          <w:tcPr>
            <w:tcW w:type="dxa" w:w="2600"/>
            <w:shd w:fill="1F3A5F" w:color="auto" w:val="clear"/>
            <w:tcMar>
              <w:top w:type="dxa" w:w="80"/>
              <w:left w:type="dxa" w:w="100"/>
              <w:bottom w:type="dxa" w:w="80"/>
              <w:right w:type="dxa" w:w="100"/>
            </w:tcMar>
          </w:tcPr>
          <w:p>
            <w:pPr>
              <w:jc w:val="left"/>
            </w:pPr>
            <w:r>
              <w:rPr>
                <w:b/>
                <w:bCs/>
                <w:color w:val="FFFFFF"/>
                <w:sz w:val="18"/>
                <w:szCs w:val="18"/>
              </w:rPr>
              <w:t xml:space="preserve">Rate</w:t>
            </w:r>
          </w:p>
        </w:tc>
        <w:tc>
          <w:tcPr>
            <w:tcW w:type="dxa" w:w="3946"/>
            <w:shd w:fill="1F3A5F" w:color="auto" w:val="clear"/>
            <w:tcMar>
              <w:top w:type="dxa" w:w="80"/>
              <w:left w:type="dxa" w:w="100"/>
              <w:bottom w:type="dxa" w:w="80"/>
              <w:right w:type="dxa" w:w="100"/>
            </w:tcMar>
          </w:tcPr>
          <w:p>
            <w:pPr>
              <w:jc w:val="left"/>
            </w:pPr>
            <w:r>
              <w:rPr>
                <w:b/>
                <w:bCs/>
                <w:color w:val="FFFFFF"/>
                <w:sz w:val="18"/>
                <w:szCs w:val="18"/>
              </w:rPr>
              <w:t xml:space="preserve">Applies to</w:t>
            </w:r>
          </w:p>
        </w:tc>
      </w:tr>
      <w:tr>
        <w:tc>
          <w:tcPr>
            <w:tcW w:type="dxa" w:w="3200"/>
            <w:tcMar>
              <w:top w:type="dxa" w:w="80"/>
              <w:left w:type="dxa" w:w="100"/>
              <w:bottom w:type="dxa" w:w="80"/>
              <w:right w:type="dxa" w:w="100"/>
            </w:tcMar>
          </w:tcPr>
          <w:p>
            <w:pPr>
              <w:jc w:val="left"/>
            </w:pPr>
            <w:r>
              <w:rPr>
                <w:b w:val="false"/>
                <w:bCs w:val="false"/>
                <w:color w:val="202020"/>
                <w:sz w:val="18"/>
                <w:szCs w:val="18"/>
              </w:rPr>
              <w:t xml:space="preserve">Small profits rate</w:t>
            </w:r>
          </w:p>
        </w:tc>
        <w:tc>
          <w:tcPr>
            <w:tcW w:type="dxa" w:w="2600"/>
            <w:tcMar>
              <w:top w:type="dxa" w:w="80"/>
              <w:left w:type="dxa" w:w="100"/>
              <w:bottom w:type="dxa" w:w="80"/>
              <w:right w:type="dxa" w:w="100"/>
            </w:tcMar>
          </w:tcPr>
          <w:p>
            <w:pPr>
              <w:jc w:val="left"/>
            </w:pPr>
            <w:r>
              <w:rPr>
                <w:b w:val="false"/>
                <w:bCs w:val="false"/>
                <w:color w:val="202020"/>
                <w:sz w:val="18"/>
                <w:szCs w:val="18"/>
              </w:rPr>
              <w:t xml:space="preserve">19%</w:t>
            </w:r>
          </w:p>
        </w:tc>
        <w:tc>
          <w:tcPr>
            <w:tcW w:type="dxa" w:w="3946"/>
            <w:tcMar>
              <w:top w:type="dxa" w:w="80"/>
              <w:left w:type="dxa" w:w="100"/>
              <w:bottom w:type="dxa" w:w="80"/>
              <w:right w:type="dxa" w:w="100"/>
            </w:tcMar>
          </w:tcPr>
          <w:p>
            <w:pPr>
              <w:jc w:val="left"/>
            </w:pPr>
            <w:r>
              <w:rPr>
                <w:b w:val="false"/>
                <w:bCs w:val="false"/>
                <w:color w:val="202020"/>
                <w:sz w:val="18"/>
                <w:szCs w:val="18"/>
              </w:rPr>
              <w:t xml:space="preserve">Taxable profits £50,000 or below</w:t>
            </w:r>
          </w:p>
        </w:tc>
      </w:tr>
      <w:tr>
        <w:tc>
          <w:tcPr>
            <w:tcW w:type="dxa" w:w="3200"/>
            <w:shd w:fill="F2F2F2" w:color="auto" w:val="clear"/>
            <w:tcMar>
              <w:top w:type="dxa" w:w="80"/>
              <w:left w:type="dxa" w:w="100"/>
              <w:bottom w:type="dxa" w:w="80"/>
              <w:right w:type="dxa" w:w="100"/>
            </w:tcMar>
          </w:tcPr>
          <w:p>
            <w:pPr>
              <w:jc w:val="left"/>
            </w:pPr>
            <w:r>
              <w:rPr>
                <w:b w:val="false"/>
                <w:bCs w:val="false"/>
                <w:color w:val="202020"/>
                <w:sz w:val="18"/>
                <w:szCs w:val="18"/>
              </w:rPr>
              <w:t xml:space="preserve">Marginal relief band</w:t>
            </w:r>
          </w:p>
        </w:tc>
        <w:tc>
          <w:tcPr>
            <w:tcW w:type="dxa" w:w="2600"/>
            <w:shd w:fill="F2F2F2" w:color="auto" w:val="clear"/>
            <w:tcMar>
              <w:top w:type="dxa" w:w="80"/>
              <w:left w:type="dxa" w:w="100"/>
              <w:bottom w:type="dxa" w:w="80"/>
              <w:right w:type="dxa" w:w="100"/>
            </w:tcMar>
          </w:tcPr>
          <w:p>
            <w:pPr>
              <w:jc w:val="left"/>
            </w:pPr>
            <w:r>
              <w:rPr>
                <w:b w:val="false"/>
                <w:bCs w:val="false"/>
                <w:color w:val="202020"/>
                <w:sz w:val="18"/>
                <w:szCs w:val="18"/>
              </w:rPr>
              <w:t xml:space="preserve">Between 19% and 25%, tapered</w:t>
            </w:r>
          </w:p>
        </w:tc>
        <w:tc>
          <w:tcPr>
            <w:tcW w:type="dxa" w:w="3946"/>
            <w:shd w:fill="F2F2F2" w:color="auto" w:val="clear"/>
            <w:tcMar>
              <w:top w:type="dxa" w:w="80"/>
              <w:left w:type="dxa" w:w="100"/>
              <w:bottom w:type="dxa" w:w="80"/>
              <w:right w:type="dxa" w:w="100"/>
            </w:tcMar>
          </w:tcPr>
          <w:p>
            <w:pPr>
              <w:jc w:val="left"/>
            </w:pPr>
            <w:r>
              <w:rPr>
                <w:b w:val="false"/>
                <w:bCs w:val="false"/>
                <w:color w:val="202020"/>
                <w:sz w:val="18"/>
                <w:szCs w:val="18"/>
              </w:rPr>
              <w:t xml:space="preserve">Taxable profits from £50,001 to £250,000</w:t>
            </w:r>
          </w:p>
        </w:tc>
      </w:tr>
      <w:tr>
        <w:tc>
          <w:tcPr>
            <w:tcW w:type="dxa" w:w="3200"/>
            <w:tcMar>
              <w:top w:type="dxa" w:w="80"/>
              <w:left w:type="dxa" w:w="100"/>
              <w:bottom w:type="dxa" w:w="80"/>
              <w:right w:type="dxa" w:w="100"/>
            </w:tcMar>
          </w:tcPr>
          <w:p>
            <w:pPr>
              <w:jc w:val="left"/>
            </w:pPr>
            <w:r>
              <w:rPr>
                <w:b w:val="false"/>
                <w:bCs w:val="false"/>
                <w:color w:val="202020"/>
                <w:sz w:val="18"/>
                <w:szCs w:val="18"/>
              </w:rPr>
              <w:t xml:space="preserve">Main rate</w:t>
            </w:r>
          </w:p>
        </w:tc>
        <w:tc>
          <w:tcPr>
            <w:tcW w:type="dxa" w:w="2600"/>
            <w:tcMar>
              <w:top w:type="dxa" w:w="80"/>
              <w:left w:type="dxa" w:w="100"/>
              <w:bottom w:type="dxa" w:w="80"/>
              <w:right w:type="dxa" w:w="100"/>
            </w:tcMar>
          </w:tcPr>
          <w:p>
            <w:pPr>
              <w:jc w:val="left"/>
            </w:pPr>
            <w:r>
              <w:rPr>
                <w:b w:val="false"/>
                <w:bCs w:val="false"/>
                <w:color w:val="202020"/>
                <w:sz w:val="18"/>
                <w:szCs w:val="18"/>
              </w:rPr>
              <w:t xml:space="preserve">25%</w:t>
            </w:r>
          </w:p>
        </w:tc>
        <w:tc>
          <w:tcPr>
            <w:tcW w:type="dxa" w:w="3946"/>
            <w:tcMar>
              <w:top w:type="dxa" w:w="80"/>
              <w:left w:type="dxa" w:w="100"/>
              <w:bottom w:type="dxa" w:w="80"/>
              <w:right w:type="dxa" w:w="100"/>
            </w:tcMar>
          </w:tcPr>
          <w:p>
            <w:pPr>
              <w:jc w:val="left"/>
            </w:pPr>
            <w:r>
              <w:rPr>
                <w:b w:val="false"/>
                <w:bCs w:val="false"/>
                <w:color w:val="202020"/>
                <w:sz w:val="18"/>
                <w:szCs w:val="18"/>
              </w:rPr>
              <w:t xml:space="preserve">Taxable profits above £250,000</w:t>
            </w:r>
          </w:p>
        </w:tc>
      </w:tr>
    </w:tbl>
    <w:p>
      <w:pPr>
        <w:spacing w:after="220" w:before="60"/>
      </w:pPr>
      <w:r>
        <w:rPr>
          <w:i/>
          <w:iCs/>
          <w:color w:val="595959"/>
          <w:sz w:val="17"/>
          <w:szCs w:val="17"/>
        </w:rPr>
        <w:t xml:space="preserve">Thresholds unchanged since April 2023, confirmed current for FY2026. Source: gov.uk rates and allowances for Corporation Tax.</w:t>
      </w:r>
    </w:p>
    <w:p>
      <w:pPr>
        <w:pStyle w:val="Heading3"/>
        <w:spacing w:after="100" w:before="200"/>
      </w:pPr>
      <w:r>
        <w:t xml:space="preserve">3.1.2 Marginal relief, the calculation the platform must implement for every company between £50,000 and £250,000 profit</w:t>
      </w:r>
    </w:p>
    <w:p>
      <w:pPr>
        <w:spacing w:after="150" w:line="300"/>
      </w:pPr>
      <w:r>
        <w:rPr>
          <w:color w:val="202020"/>
          <w:sz w:val="21"/>
          <w:szCs w:val="21"/>
        </w:rPr>
        <w:t xml:space="preserve">Marginal Relief smooths the jump between the two rates rather than applying 25% the instant a company crosses £50,000. The formula: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shd w:fill="1F2937" w:color="auto" w:val="clear"/>
            <w:tcMar>
              <w:top w:type="dxa" w:w="160"/>
              <w:left w:type="dxa" w:w="200"/>
              <w:bottom w:type="dxa" w:w="160"/>
              <w:right w:type="dxa" w:w="200"/>
            </w:tcMar>
          </w:tcPr>
          <w:p>
            <w:pPr>
              <w:spacing w:after="40"/>
            </w:pPr>
            <w:r>
              <w:rPr>
                <w:rFonts w:ascii="Consolas" w:cs="Consolas" w:eastAsia="Consolas" w:hAnsi="Consolas"/>
                <w:color w:val="E5E7EB"/>
                <w:sz w:val="19"/>
                <w:szCs w:val="19"/>
              </w:rPr>
              <w:t xml:space="preserve">MarginalRelief = (UpperLimit - AugmentedProfits) x (TaxableProfits / AugmentedProfits) x (3/200)</w:t>
            </w:r>
          </w:p>
          <w:p>
            <w:pPr>
              <w:spacing w:after="40"/>
            </w:pPr>
            <w:r>
              <w:rPr>
                <w:rFonts w:ascii="Consolas" w:cs="Consolas" w:eastAsia="Consolas" w:hAnsi="Consolas"/>
                <w:color w:val="E5E7EB"/>
                <w:sz w:val="19"/>
                <w:szCs w:val="19"/>
              </w:rPr>
              <w:t xml:space="preserve"/>
            </w:r>
          </w:p>
          <w:p>
            <w:pPr>
              <w:spacing w:after="40"/>
            </w:pPr>
            <w:r>
              <w:rPr>
                <w:rFonts w:ascii="Consolas" w:cs="Consolas" w:eastAsia="Consolas" w:hAnsi="Consolas"/>
                <w:color w:val="E5E7EB"/>
                <w:sz w:val="19"/>
                <w:szCs w:val="19"/>
              </w:rPr>
              <w:t xml:space="preserve">CorporationTaxPayable = (TaxableProfits x 25%) - MarginalRelief</w:t>
            </w:r>
          </w:p>
          <w:p>
            <w:pPr>
              <w:spacing w:after="40"/>
            </w:pPr>
            <w:r>
              <w:rPr>
                <w:rFonts w:ascii="Consolas" w:cs="Consolas" w:eastAsia="Consolas" w:hAnsi="Consolas"/>
                <w:color w:val="E5E7EB"/>
                <w:sz w:val="19"/>
                <w:szCs w:val="19"/>
              </w:rPr>
              <w:t xml:space="preserve"/>
            </w:r>
          </w:p>
          <w:p>
            <w:pPr>
              <w:spacing w:after="40"/>
            </w:pPr>
            <w:r>
              <w:rPr>
                <w:rFonts w:ascii="Consolas" w:cs="Consolas" w:eastAsia="Consolas" w:hAnsi="Consolas"/>
                <w:color w:val="E5E7EB"/>
                <w:sz w:val="19"/>
                <w:szCs w:val="19"/>
              </w:rPr>
              <w:t xml:space="preserve">// UpperLimit = £250,000 (divided by 1 + number of associated companies, see 3.1.4)</w:t>
            </w:r>
          </w:p>
          <w:p>
            <w:pPr>
              <w:spacing w:after="40"/>
            </w:pPr>
            <w:r>
              <w:rPr>
                <w:rFonts w:ascii="Consolas" w:cs="Consolas" w:eastAsia="Consolas" w:hAnsi="Consolas"/>
                <w:color w:val="E5E7EB"/>
                <w:sz w:val="19"/>
                <w:szCs w:val="19"/>
              </w:rPr>
              <w:t xml:space="preserve">// AugmentedProfits = TaxableProfits + exempt dividends received from non-group companies</w:t>
            </w:r>
          </w:p>
          <w:p>
            <w:pPr>
              <w:spacing w:after="40"/>
            </w:pPr>
            <w:r>
              <w:rPr>
                <w:rFonts w:ascii="Consolas" w:cs="Consolas" w:eastAsia="Consolas" w:hAnsi="Consolas"/>
                <w:color w:val="E5E7EB"/>
                <w:sz w:val="19"/>
                <w:szCs w:val="19"/>
              </w:rPr>
              <w:t xml:space="preserve">//   (for most micro-entities with no dividend income, AugmentedProfits = TaxableProfits)</w:t>
            </w:r>
          </w:p>
        </w:tc>
      </w:tr>
    </w:tbl>
    <w:p>
      <w:pPr>
        <w:pStyle w:val="Heading3"/>
        <w:spacing w:after="100" w:before="200"/>
      </w:pPr>
      <w:r>
        <w:t xml:space="preserve">3.1.3 Worked example the developer can test against</w:t>
      </w:r>
    </w:p>
    <w:p>
      <w:pPr>
        <w:spacing w:after="150" w:line="300"/>
      </w:pPr>
      <w:r>
        <w:rPr>
          <w:color w:val="202020"/>
          <w:sz w:val="21"/>
          <w:szCs w:val="21"/>
        </w:rPr>
        <w:t xml:space="preserve">Company with £100,000 taxable profit, no associated companies, no dividend income (so Augmented Profits = £100,000):</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shd w:fill="1F2937" w:color="auto" w:val="clear"/>
            <w:tcMar>
              <w:top w:type="dxa" w:w="160"/>
              <w:left w:type="dxa" w:w="200"/>
              <w:bottom w:type="dxa" w:w="160"/>
              <w:right w:type="dxa" w:w="200"/>
            </w:tcMar>
          </w:tcPr>
          <w:p>
            <w:pPr>
              <w:spacing w:after="40"/>
            </w:pPr>
            <w:r>
              <w:rPr>
                <w:rFonts w:ascii="Consolas" w:cs="Consolas" w:eastAsia="Consolas" w:hAnsi="Consolas"/>
                <w:color w:val="E5E7EB"/>
                <w:sz w:val="19"/>
                <w:szCs w:val="19"/>
              </w:rPr>
              <w:t xml:space="preserve">Tax at main rate  = £100,000 x 25% = £25,000</w:t>
            </w:r>
          </w:p>
          <w:p>
            <w:pPr>
              <w:spacing w:after="40"/>
            </w:pPr>
            <w:r>
              <w:rPr>
                <w:rFonts w:ascii="Consolas" w:cs="Consolas" w:eastAsia="Consolas" w:hAnsi="Consolas"/>
                <w:color w:val="E5E7EB"/>
                <w:sz w:val="19"/>
                <w:szCs w:val="19"/>
              </w:rPr>
              <w:t xml:space="preserve">MarginalRelief     = (£250,000 - £100,000) x (£100,000/£100,000) x 3/200</w:t>
            </w:r>
          </w:p>
          <w:p>
            <w:pPr>
              <w:spacing w:after="40"/>
            </w:pPr>
            <w:r>
              <w:rPr>
                <w:rFonts w:ascii="Consolas" w:cs="Consolas" w:eastAsia="Consolas" w:hAnsi="Consolas"/>
                <w:color w:val="E5E7EB"/>
                <w:sz w:val="19"/>
                <w:szCs w:val="19"/>
              </w:rPr>
              <w:t xml:space="preserve">                   = £150,000 x 1 x 0.015 = £2,250</w:t>
            </w:r>
          </w:p>
          <w:p>
            <w:pPr>
              <w:spacing w:after="40"/>
            </w:pPr>
            <w:r>
              <w:rPr>
                <w:rFonts w:ascii="Consolas" w:cs="Consolas" w:eastAsia="Consolas" w:hAnsi="Consolas"/>
                <w:color w:val="E5E7EB"/>
                <w:sz w:val="19"/>
                <w:szCs w:val="19"/>
              </w:rPr>
              <w:t xml:space="preserve">CT Payable          = £25,000 - £2,250 = £22,750   (effective rate 22.75%)</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8A1F2D" w:sz="4"/>
              <w:left w:val="single" w:color="8A1F2D" w:sz="4"/>
              <w:bottom w:val="single" w:color="8A1F2D" w:sz="4"/>
              <w:right w:val="single" w:color="8A1F2D" w:sz="4"/>
            </w:tcBorders>
            <w:shd w:fill="FCEEEE" w:color="auto" w:val="clear"/>
            <w:tcMar>
              <w:top w:type="dxa" w:w="140"/>
              <w:left w:type="dxa" w:w="200"/>
              <w:bottom w:type="dxa" w:w="140"/>
              <w:right w:type="dxa" w:w="200"/>
            </w:tcMar>
          </w:tcPr>
          <w:p>
            <w:pPr>
              <w:spacing w:after="60"/>
            </w:pPr>
            <w:r>
              <w:rPr>
                <w:b/>
                <w:bCs/>
                <w:color w:val="8A1F2D"/>
                <w:sz w:val="20"/>
                <w:szCs w:val="20"/>
              </w:rPr>
              <w:t xml:space="preserve">BUILD RULE 3.1.3</w:t>
            </w:r>
          </w:p>
          <w:p>
            <w:pPr>
              <w:spacing w:after="0"/>
            </w:pPr>
            <w:r>
              <w:rPr>
                <w:color w:val="202020"/>
                <w:sz w:val="20"/>
                <w:szCs w:val="20"/>
              </w:rPr>
              <w:t xml:space="preserve">Use this £100,000-profit example as a permanent unit test. If a future code change produces anything other than £22,750 payable for this exact input, the calculation engine is broken.</w:t>
            </w:r>
          </w:p>
        </w:tc>
      </w:tr>
    </w:tbl>
    <w:p>
      <w:pPr>
        <w:pStyle w:val="Heading3"/>
        <w:spacing w:after="100" w:before="200"/>
      </w:pPr>
      <w:r>
        <w:t xml:space="preserve">3.1.4 Associated companies</w:t>
      </w:r>
    </w:p>
    <w:p>
      <w:pPr>
        <w:spacing w:after="150" w:line="300"/>
      </w:pPr>
      <w:r>
        <w:rPr>
          <w:color w:val="202020"/>
          <w:sz w:val="21"/>
          <w:szCs w:val="21"/>
        </w:rPr>
        <w:t xml:space="preserve">If a company has associated companies (broadly, companies under common control), the £50,000 and £250,000 thresholds are divided by (1 + number of associated companies), then pro-rated if the accounting period is shorter than 12 months.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8A1F2D" w:sz="4"/>
              <w:left w:val="single" w:color="8A1F2D" w:sz="4"/>
              <w:bottom w:val="single" w:color="8A1F2D" w:sz="4"/>
              <w:right w:val="single" w:color="8A1F2D" w:sz="4"/>
            </w:tcBorders>
            <w:shd w:fill="FCEEEE" w:color="auto" w:val="clear"/>
            <w:tcMar>
              <w:top w:type="dxa" w:w="140"/>
              <w:left w:type="dxa" w:w="200"/>
              <w:bottom w:type="dxa" w:w="140"/>
              <w:right w:type="dxa" w:w="200"/>
            </w:tcMar>
          </w:tcPr>
          <w:p>
            <w:pPr>
              <w:spacing w:after="60"/>
            </w:pPr>
            <w:r>
              <w:rPr>
                <w:b/>
                <w:bCs/>
                <w:color w:val="8A1F2D"/>
                <w:sz w:val="20"/>
                <w:szCs w:val="20"/>
              </w:rPr>
              <w:t xml:space="preserve">BUILD RULE 3.1.4</w:t>
            </w:r>
          </w:p>
          <w:p>
            <w:pPr>
              <w:spacing w:after="0"/>
            </w:pPr>
            <w:r>
              <w:rPr>
                <w:color w:val="202020"/>
                <w:sz w:val="20"/>
                <w:szCs w:val="20"/>
              </w:rPr>
              <w:t xml:space="preserve">The company setup flow must capture a count of associated companies as a required field before any CT calculation runs. A genuinely passive holding company that only holds shares in subsidiaries and passes through dividends is excluded from this count, flag this as an edge case for manual accountant review rather than an automated determination, the legal test is not a simple ownership percentage check.</w:t>
            </w:r>
          </w:p>
        </w:tc>
      </w:tr>
    </w:tbl>
    <w:p>
      <w:pPr>
        <w:pStyle w:val="Heading3"/>
        <w:spacing w:after="100" w:before="200"/>
      </w:pPr>
      <w:r>
        <w:t xml:space="preserve">3.1.5 Accounting period rules</w:t>
      </w:r>
    </w:p>
    <w:p>
      <w:pPr>
        <w:pStyle w:val="ListParagraph"/>
        <w:numPr>
          <w:ilvl w:val="0"/>
          <w:numId w:val="3"/>
        </w:numPr>
        <w:spacing w:after="90" w:line="290"/>
      </w:pPr>
      <w:r>
        <w:rPr>
          <w:color w:val="202020"/>
          <w:sz w:val="21"/>
          <w:szCs w:val="21"/>
        </w:rPr>
        <w:t xml:space="preserve">A Corporation Tax accounting period can never legally exceed 12 months.</w:t>
      </w:r>
    </w:p>
    <w:p>
      <w:pPr>
        <w:pStyle w:val="ListParagraph"/>
        <w:numPr>
          <w:ilvl w:val="0"/>
          <w:numId w:val="3"/>
        </w:numPr>
        <w:spacing w:after="90" w:line="290"/>
      </w:pPr>
      <w:r>
        <w:rPr>
          <w:color w:val="202020"/>
          <w:sz w:val="21"/>
          <w:szCs w:val="21"/>
        </w:rPr>
        <w:t xml:space="preserve">A company's first statutory accounting period, set by its Companies House accounting reference date, is often slightly longer than 12 months.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8A1F2D" w:sz="4"/>
              <w:left w:val="single" w:color="8A1F2D" w:sz="4"/>
              <w:bottom w:val="single" w:color="8A1F2D" w:sz="4"/>
              <w:right w:val="single" w:color="8A1F2D" w:sz="4"/>
            </w:tcBorders>
            <w:shd w:fill="FCEEEE" w:color="auto" w:val="clear"/>
            <w:tcMar>
              <w:top w:type="dxa" w:w="140"/>
              <w:left w:type="dxa" w:w="200"/>
              <w:bottom w:type="dxa" w:w="140"/>
              <w:right w:type="dxa" w:w="200"/>
            </w:tcMar>
          </w:tcPr>
          <w:p>
            <w:pPr>
              <w:spacing w:after="60"/>
            </w:pPr>
            <w:r>
              <w:rPr>
                <w:b/>
                <w:bCs/>
                <w:color w:val="8A1F2D"/>
                <w:sz w:val="20"/>
                <w:szCs w:val="20"/>
              </w:rPr>
              <w:t xml:space="preserve">BUILD RULE 3.1.5</w:t>
            </w:r>
          </w:p>
          <w:p>
            <w:pPr>
              <w:spacing w:after="0"/>
            </w:pPr>
            <w:r>
              <w:rPr>
                <w:color w:val="202020"/>
                <w:sz w:val="20"/>
                <w:szCs w:val="20"/>
              </w:rPr>
              <w:t xml:space="preserve">If a company's statutory accounting period exceeds 12 months, the platform must automatically split it into two separate CT600 filings, each with its own independent 12-months-to-file and 9-months-and-1-day-to-pay deadlines calculated from its own period end. Do not allow a single CT600 submission to cover a period longer than 12 months, HMRC will reject it.</w:t>
            </w:r>
          </w:p>
        </w:tc>
      </w:tr>
    </w:tbl>
    <w:p>
      <w:pPr>
        <w:pStyle w:val="Heading3"/>
        <w:spacing w:after="100" w:before="200"/>
      </w:pPr>
      <w:r>
        <w:t xml:space="preserve">3.1.6 Filing and payment deadlines, and why they are two different dates</w:t>
      </w:r>
    </w:p>
    <w:p>
      <w:pPr>
        <w:pStyle w:val="ListParagraph"/>
        <w:numPr>
          <w:ilvl w:val="0"/>
          <w:numId w:val="3"/>
        </w:numPr>
        <w:spacing w:after="90" w:line="290"/>
      </w:pPr>
      <w:r>
        <w:rPr>
          <w:color w:val="202020"/>
          <w:sz w:val="21"/>
          <w:szCs w:val="21"/>
        </w:rPr>
        <w:t xml:space="preserve">CT600 filing deadline: 12 months after the end of the accounting period.</w:t>
      </w:r>
    </w:p>
    <w:p>
      <w:pPr>
        <w:pStyle w:val="ListParagraph"/>
        <w:numPr>
          <w:ilvl w:val="0"/>
          <w:numId w:val="3"/>
        </w:numPr>
        <w:spacing w:after="90" w:line="290"/>
      </w:pPr>
      <w:r>
        <w:rPr>
          <w:color w:val="202020"/>
          <w:sz w:val="21"/>
          <w:szCs w:val="21"/>
        </w:rPr>
        <w:t xml:space="preserve">Corporation Tax payment deadline: 9 months and 1 day after the end of the accounting period, for profits up to £1.5 million. This is earlier than the filing deadline and is a separate obligation the software must track independently.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8A1F2D" w:sz="4"/>
              <w:left w:val="single" w:color="8A1F2D" w:sz="4"/>
              <w:bottom w:val="single" w:color="8A1F2D" w:sz="4"/>
              <w:right w:val="single" w:color="8A1F2D" w:sz="4"/>
            </w:tcBorders>
            <w:shd w:fill="FCEEEE" w:color="auto" w:val="clear"/>
            <w:tcMar>
              <w:top w:type="dxa" w:w="140"/>
              <w:left w:type="dxa" w:w="200"/>
              <w:bottom w:type="dxa" w:w="140"/>
              <w:right w:type="dxa" w:w="200"/>
            </w:tcMar>
          </w:tcPr>
          <w:p>
            <w:pPr>
              <w:spacing w:after="60"/>
            </w:pPr>
            <w:r>
              <w:rPr>
                <w:b/>
                <w:bCs/>
                <w:color w:val="8A1F2D"/>
                <w:sz w:val="20"/>
                <w:szCs w:val="20"/>
              </w:rPr>
              <w:t xml:space="preserve">BUILD RULE 3.1.6</w:t>
            </w:r>
          </w:p>
          <w:p>
            <w:pPr>
              <w:spacing w:after="0"/>
            </w:pPr>
            <w:r>
              <w:rPr>
                <w:color w:val="202020"/>
                <w:sz w:val="20"/>
                <w:szCs w:val="20"/>
              </w:rPr>
              <w:t xml:space="preserve">Do not merge these into one deadline in the data model. A company can owe payment three months before its return is even due to be filed. Build two independent deadline fields and two independent reminder sequences per accounting period.</w:t>
            </w:r>
          </w:p>
        </w:tc>
      </w:tr>
    </w:tbl>
    <w:p>
      <w:pPr>
        <w:pStyle w:val="Heading3"/>
        <w:spacing w:after="100" w:before="200"/>
      </w:pPr>
      <w:r>
        <w:t xml:space="preserve">3.1.7 Late filing penalties, for the notifications/warnings engine</w:t>
      </w:r>
    </w:p>
    <w:tbl>
      <w:tblPr>
        <w:tblW w:type="dxa" w:w="9646"/>
        <w:tblBorders>
          <w:top w:val="single" w:color="auto" w:sz="4"/>
          <w:left w:val="single" w:color="auto" w:sz="4"/>
          <w:bottom w:val="single" w:color="auto" w:sz="4"/>
          <w:right w:val="single" w:color="auto" w:sz="4"/>
          <w:insideH w:val="single" w:color="auto" w:sz="4"/>
          <w:insideV w:val="single" w:color="auto" w:sz="4"/>
        </w:tblBorders>
      </w:tblPr>
      <w:tblGrid>
        <w:gridCol w:w="3200"/>
        <w:gridCol w:w="6446"/>
      </w:tblGrid>
      <w:tr>
        <w:trPr>
          <w:tblHeader/>
        </w:trPr>
        <w:tc>
          <w:tcPr>
            <w:tcW w:type="dxa" w:w="3200"/>
            <w:shd w:fill="1F3A5F" w:color="auto" w:val="clear"/>
            <w:tcMar>
              <w:top w:type="dxa" w:w="80"/>
              <w:left w:type="dxa" w:w="100"/>
              <w:bottom w:type="dxa" w:w="80"/>
              <w:right w:type="dxa" w:w="100"/>
            </w:tcMar>
          </w:tcPr>
          <w:p>
            <w:pPr>
              <w:jc w:val="left"/>
            </w:pPr>
            <w:r>
              <w:rPr>
                <w:b/>
                <w:bCs/>
                <w:color w:val="FFFFFF"/>
                <w:sz w:val="18"/>
                <w:szCs w:val="18"/>
              </w:rPr>
              <w:t xml:space="preserve">Lateness</w:t>
            </w:r>
          </w:p>
        </w:tc>
        <w:tc>
          <w:tcPr>
            <w:tcW w:type="dxa" w:w="6446"/>
            <w:shd w:fill="1F3A5F" w:color="auto" w:val="clear"/>
            <w:tcMar>
              <w:top w:type="dxa" w:w="80"/>
              <w:left w:type="dxa" w:w="100"/>
              <w:bottom w:type="dxa" w:w="80"/>
              <w:right w:type="dxa" w:w="100"/>
            </w:tcMar>
          </w:tcPr>
          <w:p>
            <w:pPr>
              <w:jc w:val="left"/>
            </w:pPr>
            <w:r>
              <w:rPr>
                <w:b/>
                <w:bCs/>
                <w:color w:val="FFFFFF"/>
                <w:sz w:val="18"/>
                <w:szCs w:val="18"/>
              </w:rPr>
              <w:t xml:space="preserve">Penalty</w:t>
            </w:r>
          </w:p>
        </w:tc>
      </w:tr>
      <w:tr>
        <w:tc>
          <w:tcPr>
            <w:tcW w:type="dxa" w:w="3200"/>
            <w:tcMar>
              <w:top w:type="dxa" w:w="80"/>
              <w:left w:type="dxa" w:w="100"/>
              <w:bottom w:type="dxa" w:w="80"/>
              <w:right w:type="dxa" w:w="100"/>
            </w:tcMar>
          </w:tcPr>
          <w:p>
            <w:pPr>
              <w:jc w:val="left"/>
            </w:pPr>
            <w:r>
              <w:rPr>
                <w:b w:val="false"/>
                <w:bCs w:val="false"/>
                <w:color w:val="202020"/>
                <w:sz w:val="18"/>
                <w:szCs w:val="18"/>
              </w:rPr>
              <w:t xml:space="preserve">1 day late</w:t>
            </w:r>
          </w:p>
        </w:tc>
        <w:tc>
          <w:tcPr>
            <w:tcW w:type="dxa" w:w="6446"/>
            <w:tcMar>
              <w:top w:type="dxa" w:w="80"/>
              <w:left w:type="dxa" w:w="100"/>
              <w:bottom w:type="dxa" w:w="80"/>
              <w:right w:type="dxa" w:w="100"/>
            </w:tcMar>
          </w:tcPr>
          <w:p>
            <w:pPr>
              <w:jc w:val="left"/>
            </w:pPr>
            <w:r>
              <w:rPr>
                <w:b w:val="false"/>
                <w:bCs w:val="false"/>
                <w:color w:val="202020"/>
                <w:sz w:val="18"/>
                <w:szCs w:val="18"/>
              </w:rPr>
              <w:t xml:space="preserve">£200 flat</w:t>
            </w:r>
          </w:p>
        </w:tc>
      </w:tr>
      <w:tr>
        <w:tc>
          <w:tcPr>
            <w:tcW w:type="dxa" w:w="3200"/>
            <w:shd w:fill="F2F2F2" w:color="auto" w:val="clear"/>
            <w:tcMar>
              <w:top w:type="dxa" w:w="80"/>
              <w:left w:type="dxa" w:w="100"/>
              <w:bottom w:type="dxa" w:w="80"/>
              <w:right w:type="dxa" w:w="100"/>
            </w:tcMar>
          </w:tcPr>
          <w:p>
            <w:pPr>
              <w:jc w:val="left"/>
            </w:pPr>
            <w:r>
              <w:rPr>
                <w:b w:val="false"/>
                <w:bCs w:val="false"/>
                <w:color w:val="202020"/>
                <w:sz w:val="18"/>
                <w:szCs w:val="18"/>
              </w:rPr>
              <w:t xml:space="preserve">3 months late</w:t>
            </w:r>
          </w:p>
        </w:tc>
        <w:tc>
          <w:tcPr>
            <w:tcW w:type="dxa" w:w="6446"/>
            <w:shd w:fill="F2F2F2" w:color="auto" w:val="clear"/>
            <w:tcMar>
              <w:top w:type="dxa" w:w="80"/>
              <w:left w:type="dxa" w:w="100"/>
              <w:bottom w:type="dxa" w:w="80"/>
              <w:right w:type="dxa" w:w="100"/>
            </w:tcMar>
          </w:tcPr>
          <w:p>
            <w:pPr>
              <w:jc w:val="left"/>
            </w:pPr>
            <w:r>
              <w:rPr>
                <w:b w:val="false"/>
                <w:bCs w:val="false"/>
                <w:color w:val="202020"/>
                <w:sz w:val="18"/>
                <w:szCs w:val="18"/>
              </w:rPr>
              <w:t xml:space="preserve">A further £200 flat</w:t>
            </w:r>
          </w:p>
        </w:tc>
      </w:tr>
      <w:tr>
        <w:tc>
          <w:tcPr>
            <w:tcW w:type="dxa" w:w="3200"/>
            <w:tcMar>
              <w:top w:type="dxa" w:w="80"/>
              <w:left w:type="dxa" w:w="100"/>
              <w:bottom w:type="dxa" w:w="80"/>
              <w:right w:type="dxa" w:w="100"/>
            </w:tcMar>
          </w:tcPr>
          <w:p>
            <w:pPr>
              <w:jc w:val="left"/>
            </w:pPr>
            <w:r>
              <w:rPr>
                <w:b w:val="false"/>
                <w:bCs w:val="false"/>
                <w:color w:val="202020"/>
                <w:sz w:val="18"/>
                <w:szCs w:val="18"/>
              </w:rPr>
              <w:t xml:space="preserve">6 months late</w:t>
            </w:r>
          </w:p>
        </w:tc>
        <w:tc>
          <w:tcPr>
            <w:tcW w:type="dxa" w:w="6446"/>
            <w:tcMar>
              <w:top w:type="dxa" w:w="80"/>
              <w:left w:type="dxa" w:w="100"/>
              <w:bottom w:type="dxa" w:w="80"/>
              <w:right w:type="dxa" w:w="100"/>
            </w:tcMar>
          </w:tcPr>
          <w:p>
            <w:pPr>
              <w:jc w:val="left"/>
            </w:pPr>
            <w:r>
              <w:rPr>
                <w:b w:val="false"/>
                <w:bCs w:val="false"/>
                <w:color w:val="202020"/>
                <w:sz w:val="18"/>
                <w:szCs w:val="18"/>
              </w:rPr>
              <w:t xml:space="preserve">HMRC estimates the tax bill itself (a "tax determination", not appealable) plus 10% of the unpaid tax</w:t>
            </w:r>
          </w:p>
        </w:tc>
      </w:tr>
      <w:tr>
        <w:tc>
          <w:tcPr>
            <w:tcW w:type="dxa" w:w="3200"/>
            <w:shd w:fill="F2F2F2" w:color="auto" w:val="clear"/>
            <w:tcMar>
              <w:top w:type="dxa" w:w="80"/>
              <w:left w:type="dxa" w:w="100"/>
              <w:bottom w:type="dxa" w:w="80"/>
              <w:right w:type="dxa" w:w="100"/>
            </w:tcMar>
          </w:tcPr>
          <w:p>
            <w:pPr>
              <w:jc w:val="left"/>
            </w:pPr>
            <w:r>
              <w:rPr>
                <w:b w:val="false"/>
                <w:bCs w:val="false"/>
                <w:color w:val="202020"/>
                <w:sz w:val="18"/>
                <w:szCs w:val="18"/>
              </w:rPr>
              <w:t xml:space="preserve">12 months late</w:t>
            </w:r>
          </w:p>
        </w:tc>
        <w:tc>
          <w:tcPr>
            <w:tcW w:type="dxa" w:w="6446"/>
            <w:shd w:fill="F2F2F2" w:color="auto" w:val="clear"/>
            <w:tcMar>
              <w:top w:type="dxa" w:w="80"/>
              <w:left w:type="dxa" w:w="100"/>
              <w:bottom w:type="dxa" w:w="80"/>
              <w:right w:type="dxa" w:w="100"/>
            </w:tcMar>
          </w:tcPr>
          <w:p>
            <w:pPr>
              <w:jc w:val="left"/>
            </w:pPr>
            <w:r>
              <w:rPr>
                <w:b w:val="false"/>
                <w:bCs w:val="false"/>
                <w:color w:val="202020"/>
                <w:sz w:val="18"/>
                <w:szCs w:val="18"/>
              </w:rPr>
              <w:t xml:space="preserve">A further 10% of unpaid tax</w:t>
            </w:r>
          </w:p>
        </w:tc>
      </w:tr>
    </w:tbl>
    <w:p>
      <w:pPr>
        <w:spacing w:after="220" w:before="60"/>
      </w:pPr>
      <w:r>
        <w:rPr>
          <w:i/>
          <w:iCs/>
          <w:color w:val="595959"/>
          <w:sz w:val="17"/>
          <w:szCs w:val="17"/>
        </w:rPr>
        <w:t xml:space="preserve">Three consecutive late filings raise both £200 penalties to £1,000 each. Source: gov.uk penalties for late filing of Company Tax Returns.</w:t>
      </w:r>
    </w:p>
    <w:p>
      <w:pPr>
        <w:pStyle w:val="Heading3"/>
        <w:spacing w:after="100" w:before="200"/>
      </w:pPr>
      <w:r>
        <w:t xml:space="preserve">3.1.8 What must be filed, and the accounts-format decision</w:t>
      </w:r>
    </w:p>
    <w:p>
      <w:pPr>
        <w:spacing w:after="150" w:line="300"/>
      </w:pPr>
      <w:r>
        <w:rPr>
          <w:color w:val="202020"/>
          <w:sz w:val="21"/>
          <w:szCs w:val="21"/>
        </w:rPr>
        <w:t xml:space="preserve">A Company Tax Return is not just the CT600 form. It is three things submitted together: the CT600 form itself, the company's statutory accounts in iXBRL format, and the tax computations showing how the CT600 figures were derived from the accounts.</w:t>
      </w:r>
    </w:p>
    <w:p>
      <w:pPr>
        <w:pStyle w:val="ListParagraph"/>
        <w:numPr>
          <w:ilvl w:val="0"/>
          <w:numId w:val="3"/>
        </w:numPr>
        <w:spacing w:after="90" w:line="290"/>
      </w:pPr>
      <w:r>
        <w:rPr>
          <w:color w:val="202020"/>
          <w:sz w:val="21"/>
          <w:szCs w:val="21"/>
        </w:rPr>
        <w:t xml:space="preserve">Micro-entity accounts (FRS 105): available if the company meets at least 2 of 3: turnover £1,000,000 or below, balance sheet total £500,000 or below, 10 employees or fewer (average). Permits a simplified balance sheet with minimal notes.</w:t>
      </w:r>
    </w:p>
    <w:p>
      <w:pPr>
        <w:pStyle w:val="ListParagraph"/>
        <w:numPr>
          <w:ilvl w:val="0"/>
          <w:numId w:val="3"/>
        </w:numPr>
        <w:spacing w:after="90" w:line="290"/>
      </w:pPr>
      <w:r>
        <w:rPr>
          <w:color w:val="202020"/>
          <w:sz w:val="21"/>
          <w:szCs w:val="21"/>
        </w:rPr>
        <w:t xml:space="preserve">Small company accounts (FRS 102, Section 1A): available if the company meets at least 2 of 3: turnover £15,000,000 or below, balance sheet total £7,500,000 or below, 50 employees or fewer (average). Allows abridged accounts with shareholder consent.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8A1F2D" w:sz="4"/>
              <w:left w:val="single" w:color="8A1F2D" w:sz="4"/>
              <w:bottom w:val="single" w:color="8A1F2D" w:sz="4"/>
              <w:right w:val="single" w:color="8A1F2D" w:sz="4"/>
            </w:tcBorders>
            <w:shd w:fill="FCEEEE" w:color="auto" w:val="clear"/>
            <w:tcMar>
              <w:top w:type="dxa" w:w="140"/>
              <w:left w:type="dxa" w:w="200"/>
              <w:bottom w:type="dxa" w:w="140"/>
              <w:right w:type="dxa" w:w="200"/>
            </w:tcMar>
          </w:tcPr>
          <w:p>
            <w:pPr>
              <w:spacing w:after="60"/>
            </w:pPr>
            <w:r>
              <w:rPr>
                <w:b/>
                <w:bCs/>
                <w:color w:val="8A1F2D"/>
                <w:sz w:val="20"/>
                <w:szCs w:val="20"/>
              </w:rPr>
              <w:t xml:space="preserve">BUILD RULE 3.1.8a</w:t>
            </w:r>
          </w:p>
          <w:p>
            <w:pPr>
              <w:spacing w:after="0"/>
            </w:pPr>
            <w:r>
              <w:rPr>
                <w:color w:val="202020"/>
                <w:sz w:val="20"/>
                <w:szCs w:val="20"/>
              </w:rPr>
              <w:t xml:space="preserve">The platform must apply the 2-of-3 test automatically at company setup and default the user into the correct accounts framework (FRS 105 or FRS 102), rather than asking a non-accountant user to self-select which one applies.</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8A1F2D" w:sz="4"/>
              <w:left w:val="single" w:color="8A1F2D" w:sz="4"/>
              <w:bottom w:val="single" w:color="8A1F2D" w:sz="4"/>
              <w:right w:val="single" w:color="8A1F2D" w:sz="4"/>
            </w:tcBorders>
            <w:shd w:fill="FCEEEE" w:color="auto" w:val="clear"/>
            <w:tcMar>
              <w:top w:type="dxa" w:w="140"/>
              <w:left w:type="dxa" w:w="200"/>
              <w:bottom w:type="dxa" w:w="140"/>
              <w:right w:type="dxa" w:w="200"/>
            </w:tcMar>
          </w:tcPr>
          <w:p>
            <w:pPr>
              <w:spacing w:after="60"/>
            </w:pPr>
            <w:r>
              <w:rPr>
                <w:b/>
                <w:bCs/>
                <w:color w:val="8A1F2D"/>
                <w:sz w:val="20"/>
                <w:szCs w:val="20"/>
              </w:rPr>
              <w:t xml:space="preserve">BUILD RULE 3.1.8b (forward-looking, do not skip)</w:t>
            </w:r>
          </w:p>
          <w:p>
            <w:pPr>
              <w:spacing w:after="0"/>
            </w:pPr>
            <w:r>
              <w:rPr>
                <w:color w:val="202020"/>
                <w:sz w:val="20"/>
                <w:szCs w:val="20"/>
              </w:rPr>
              <w:t xml:space="preserve">Under the Companies House ECCTA reforms, from 1 April 2028 both micro-entity and small company accounts must include a full profit and loss account, not just a balance sheet, and abridged accounts are being phased out. If the MVP only builds balance-sheet-only filing, the roadmap must include a P&amp;L-inclusive filing path built and tested well before April 2028, this is a confirmed date, not a proposal.</w:t>
            </w:r>
          </w:p>
        </w:tc>
      </w:tr>
    </w:tbl>
    <w:p>
      <w:pPr>
        <w:pStyle w:val="Heading3"/>
        <w:spacing w:after="100" w:before="200"/>
      </w:pPr>
      <w:r>
        <w:t xml:space="preserve">3.1.9 The calculation Section 3.1.2 assumes you already did: capital allowances</w:t>
      </w:r>
    </w:p>
    <w:p>
      <w:pPr>
        <w:spacing w:after="150" w:line="300"/>
      </w:pPr>
      <w:r>
        <w:rPr>
          <w:color w:val="202020"/>
          <w:sz w:val="21"/>
          <w:szCs w:val="21"/>
        </w:rPr>
        <w:t xml:space="preserve">The marginal relief formula in 3.1.2 only works once you already have a company's "taxable profit". Accounting profit, the number in the statutory accounts, is not taxable profit, and turning one into the other starts here. When a company buys equipment, it can't deduct the cost like a normal expense (Rule 3.1.10 below covers disallowed capital items generally). Instead it claims capital allowances, an HMRC-defined depreciation schedule for tax purposes only, entirely separate from the depreciation shown in the statutory accounts.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946"/>
      </w:tblGrid>
      <w:tr>
        <w:trPr>
          <w:tblHeader/>
        </w:trPr>
        <w:tc>
          <w:tcPr>
            <w:tcW w:type="dxa" w:w="2600"/>
            <w:shd w:fill="1F3A5F" w:color="auto" w:val="clear"/>
            <w:tcMar>
              <w:top w:type="dxa" w:w="80"/>
              <w:left w:type="dxa" w:w="100"/>
              <w:bottom w:type="dxa" w:w="80"/>
              <w:right w:type="dxa" w:w="100"/>
            </w:tcMar>
          </w:tcPr>
          <w:p>
            <w:pPr>
              <w:jc w:val="left"/>
            </w:pPr>
            <w:r>
              <w:rPr>
                <w:b/>
                <w:bCs/>
                <w:color w:val="FFFFFF"/>
                <w:sz w:val="18"/>
                <w:szCs w:val="18"/>
              </w:rPr>
              <w:t xml:space="preserve">Rule</w:t>
            </w:r>
          </w:p>
        </w:tc>
        <w:tc>
          <w:tcPr>
            <w:tcW w:type="dxa" w:w="2200"/>
            <w:shd w:fill="1F3A5F" w:color="auto" w:val="clear"/>
            <w:tcMar>
              <w:top w:type="dxa" w:w="80"/>
              <w:left w:type="dxa" w:w="100"/>
              <w:bottom w:type="dxa" w:w="80"/>
              <w:right w:type="dxa" w:w="100"/>
            </w:tcMar>
          </w:tcPr>
          <w:p>
            <w:pPr>
              <w:jc w:val="left"/>
            </w:pPr>
            <w:r>
              <w:rPr>
                <w:b/>
                <w:bCs/>
                <w:color w:val="FFFFFF"/>
                <w:sz w:val="18"/>
                <w:szCs w:val="18"/>
              </w:rPr>
              <w:t xml:space="preserve">Rate/limit</w:t>
            </w:r>
          </w:p>
        </w:tc>
        <w:tc>
          <w:tcPr>
            <w:tcW w:type="dxa" w:w="4946"/>
            <w:shd w:fill="1F3A5F" w:color="auto" w:val="clear"/>
            <w:tcMar>
              <w:top w:type="dxa" w:w="80"/>
              <w:left w:type="dxa" w:w="100"/>
              <w:bottom w:type="dxa" w:w="80"/>
              <w:right w:type="dxa" w:w="100"/>
            </w:tcMar>
          </w:tcPr>
          <w:p>
            <w:pPr>
              <w:jc w:val="left"/>
            </w:pPr>
            <w:r>
              <w:rPr>
                <w:b/>
                <w:bCs/>
                <w:color w:val="FFFFFF"/>
                <w:sz w:val="18"/>
                <w:szCs w:val="18"/>
              </w:rPr>
              <w:t xml:space="preserve">Detail</w:t>
            </w:r>
          </w:p>
        </w:tc>
      </w:tr>
      <w:tr>
        <w:tc>
          <w:tcPr>
            <w:tcW w:type="dxa" w:w="2600"/>
            <w:tcMar>
              <w:top w:type="dxa" w:w="80"/>
              <w:left w:type="dxa" w:w="100"/>
              <w:bottom w:type="dxa" w:w="80"/>
              <w:right w:type="dxa" w:w="100"/>
            </w:tcMar>
          </w:tcPr>
          <w:p>
            <w:pPr>
              <w:jc w:val="left"/>
            </w:pPr>
            <w:r>
              <w:rPr>
                <w:b w:val="false"/>
                <w:bCs w:val="false"/>
                <w:color w:val="202020"/>
                <w:sz w:val="18"/>
                <w:szCs w:val="18"/>
              </w:rPr>
              <w:t xml:space="preserve">Annual Investment Allowance (AIA)</w:t>
            </w:r>
          </w:p>
        </w:tc>
        <w:tc>
          <w:tcPr>
            <w:tcW w:type="dxa" w:w="2200"/>
            <w:tcMar>
              <w:top w:type="dxa" w:w="80"/>
              <w:left w:type="dxa" w:w="100"/>
              <w:bottom w:type="dxa" w:w="80"/>
              <w:right w:type="dxa" w:w="100"/>
            </w:tcMar>
          </w:tcPr>
          <w:p>
            <w:pPr>
              <w:jc w:val="left"/>
            </w:pPr>
            <w:r>
              <w:rPr>
                <w:b w:val="false"/>
                <w:bCs w:val="false"/>
                <w:color w:val="202020"/>
                <w:sz w:val="18"/>
                <w:szCs w:val="18"/>
              </w:rPr>
              <w:t xml:space="preserve">£1,000,000</w:t>
            </w:r>
          </w:p>
        </w:tc>
        <w:tc>
          <w:tcPr>
            <w:tcW w:type="dxa" w:w="4946"/>
            <w:tcMar>
              <w:top w:type="dxa" w:w="80"/>
              <w:left w:type="dxa" w:w="100"/>
              <w:bottom w:type="dxa" w:w="80"/>
              <w:right w:type="dxa" w:w="100"/>
            </w:tcMar>
          </w:tcPr>
          <w:p>
            <w:pPr>
              <w:jc w:val="left"/>
            </w:pPr>
            <w:r>
              <w:rPr>
                <w:b w:val="false"/>
                <w:bCs w:val="false"/>
                <w:color w:val="202020"/>
                <w:sz w:val="18"/>
                <w:szCs w:val="18"/>
              </w:rPr>
              <w:t xml:space="preserve">100% deduction on qualifying plant and machinery in the year of purchase, up to this limit. Permanent since 1 April 2023, not time-limited. Time-apportioned for short periods (a 9-month period gets 9/12 x £1,000,000 = £750,000)</w:t>
            </w:r>
          </w:p>
        </w:tc>
      </w:tr>
      <w:tr>
        <w:tc>
          <w:tcPr>
            <w:tcW w:type="dxa" w:w="2600"/>
            <w:shd w:fill="F2F2F2" w:color="auto" w:val="clear"/>
            <w:tcMar>
              <w:top w:type="dxa" w:w="80"/>
              <w:left w:type="dxa" w:w="100"/>
              <w:bottom w:type="dxa" w:w="80"/>
              <w:right w:type="dxa" w:w="100"/>
            </w:tcMar>
          </w:tcPr>
          <w:p>
            <w:pPr>
              <w:jc w:val="left"/>
            </w:pPr>
            <w:r>
              <w:rPr>
                <w:b w:val="false"/>
                <w:bCs w:val="false"/>
                <w:color w:val="202020"/>
                <w:sz w:val="18"/>
                <w:szCs w:val="18"/>
              </w:rPr>
              <w:t xml:space="preserve">Full expensing</w:t>
            </w:r>
          </w:p>
        </w:tc>
        <w:tc>
          <w:tcPr>
            <w:tcW w:type="dxa" w:w="2200"/>
            <w:shd w:fill="F2F2F2" w:color="auto" w:val="clear"/>
            <w:tcMar>
              <w:top w:type="dxa" w:w="80"/>
              <w:left w:type="dxa" w:w="100"/>
              <w:bottom w:type="dxa" w:w="80"/>
              <w:right w:type="dxa" w:w="100"/>
            </w:tcMar>
          </w:tcPr>
          <w:p>
            <w:pPr>
              <w:jc w:val="left"/>
            </w:pPr>
            <w:r>
              <w:rPr>
                <w:b w:val="false"/>
                <w:bCs w:val="false"/>
                <w:color w:val="202020"/>
                <w:sz w:val="18"/>
                <w:szCs w:val="18"/>
              </w:rPr>
              <w:t xml:space="preserve">100% (main rate) / 50% (special rate)</w:t>
            </w:r>
          </w:p>
        </w:tc>
        <w:tc>
          <w:tcPr>
            <w:tcW w:type="dxa" w:w="4946"/>
            <w:shd w:fill="F2F2F2" w:color="auto" w:val="clear"/>
            <w:tcMar>
              <w:top w:type="dxa" w:w="80"/>
              <w:left w:type="dxa" w:w="100"/>
              <w:bottom w:type="dxa" w:w="80"/>
              <w:right w:type="dxa" w:w="100"/>
            </w:tcMar>
          </w:tcPr>
          <w:p>
            <w:pPr>
              <w:jc w:val="left"/>
            </w:pPr>
            <w:r>
              <w:rPr>
                <w:b w:val="false"/>
                <w:bCs w:val="false"/>
                <w:color w:val="202020"/>
                <w:sz w:val="18"/>
                <w:szCs w:val="18"/>
              </w:rPr>
              <w:t xml:space="preserve">Companies only, new and unused assets only. Permanent, no sunset date. Cannot be claimed on the same expenditure as AIA, in practice AIA is used first for spend under £1m since the result is identical</w:t>
            </w:r>
          </w:p>
        </w:tc>
      </w:tr>
      <w:tr>
        <w:tc>
          <w:tcPr>
            <w:tcW w:type="dxa" w:w="2600"/>
            <w:tcMar>
              <w:top w:type="dxa" w:w="80"/>
              <w:left w:type="dxa" w:w="100"/>
              <w:bottom w:type="dxa" w:w="80"/>
              <w:right w:type="dxa" w:w="100"/>
            </w:tcMar>
          </w:tcPr>
          <w:p>
            <w:pPr>
              <w:jc w:val="left"/>
            </w:pPr>
            <w:r>
              <w:rPr>
                <w:b w:val="false"/>
                <w:bCs w:val="false"/>
                <w:color w:val="202020"/>
                <w:sz w:val="18"/>
                <w:szCs w:val="18"/>
              </w:rPr>
              <w:t xml:space="preserve">Main rate pool WDA</w:t>
            </w:r>
          </w:p>
        </w:tc>
        <w:tc>
          <w:tcPr>
            <w:tcW w:type="dxa" w:w="2200"/>
            <w:tcMar>
              <w:top w:type="dxa" w:w="80"/>
              <w:left w:type="dxa" w:w="100"/>
              <w:bottom w:type="dxa" w:w="80"/>
              <w:right w:type="dxa" w:w="100"/>
            </w:tcMar>
          </w:tcPr>
          <w:p>
            <w:pPr>
              <w:jc w:val="left"/>
            </w:pPr>
            <w:r>
              <w:rPr>
                <w:b w:val="false"/>
                <w:bCs w:val="false"/>
                <w:color w:val="202020"/>
                <w:sz w:val="18"/>
                <w:szCs w:val="18"/>
              </w:rPr>
              <w:t xml:space="preserve">14%</w:t>
            </w:r>
          </w:p>
        </w:tc>
        <w:tc>
          <w:tcPr>
            <w:tcW w:type="dxa" w:w="4946"/>
            <w:tcMar>
              <w:top w:type="dxa" w:w="80"/>
              <w:left w:type="dxa" w:w="100"/>
              <w:bottom w:type="dxa" w:w="80"/>
              <w:right w:type="dxa" w:w="100"/>
            </w:tcMar>
          </w:tcPr>
          <w:p>
            <w:pPr>
              <w:jc w:val="left"/>
            </w:pPr>
            <w:r>
              <w:rPr>
                <w:b w:val="false"/>
                <w:bCs w:val="false"/>
                <w:color w:val="202020"/>
                <w:sz w:val="18"/>
                <w:szCs w:val="18"/>
              </w:rPr>
              <w:t xml:space="preserve">Reducing-balance allowance on general plant, equipment, computers, furniture. RATE CUT from 18% to 14% for accounting periods beginning on or after 1 April 2026, Autumn Budget 2025. Periods straddling that date use a hybrid blended rate</w:t>
            </w:r>
          </w:p>
        </w:tc>
      </w:tr>
      <w:tr>
        <w:tc>
          <w:tcPr>
            <w:tcW w:type="dxa" w:w="2600"/>
            <w:shd w:fill="F2F2F2" w:color="auto" w:val="clear"/>
            <w:tcMar>
              <w:top w:type="dxa" w:w="80"/>
              <w:left w:type="dxa" w:w="100"/>
              <w:bottom w:type="dxa" w:w="80"/>
              <w:right w:type="dxa" w:w="100"/>
            </w:tcMar>
          </w:tcPr>
          <w:p>
            <w:pPr>
              <w:jc w:val="left"/>
            </w:pPr>
            <w:r>
              <w:rPr>
                <w:b w:val="false"/>
                <w:bCs w:val="false"/>
                <w:color w:val="202020"/>
                <w:sz w:val="18"/>
                <w:szCs w:val="18"/>
              </w:rPr>
              <w:t xml:space="preserve">Special rate pool WDA</w:t>
            </w:r>
          </w:p>
        </w:tc>
        <w:tc>
          <w:tcPr>
            <w:tcW w:type="dxa" w:w="2200"/>
            <w:shd w:fill="F2F2F2" w:color="auto" w:val="clear"/>
            <w:tcMar>
              <w:top w:type="dxa" w:w="80"/>
              <w:left w:type="dxa" w:w="100"/>
              <w:bottom w:type="dxa" w:w="80"/>
              <w:right w:type="dxa" w:w="100"/>
            </w:tcMar>
          </w:tcPr>
          <w:p>
            <w:pPr>
              <w:jc w:val="left"/>
            </w:pPr>
            <w:r>
              <w:rPr>
                <w:b w:val="false"/>
                <w:bCs w:val="false"/>
                <w:color w:val="202020"/>
                <w:sz w:val="18"/>
                <w:szCs w:val="18"/>
              </w:rPr>
              <w:t xml:space="preserve">6%</w:t>
            </w:r>
          </w:p>
        </w:tc>
        <w:tc>
          <w:tcPr>
            <w:tcW w:type="dxa" w:w="4946"/>
            <w:shd w:fill="F2F2F2" w:color="auto" w:val="clear"/>
            <w:tcMar>
              <w:top w:type="dxa" w:w="80"/>
              <w:left w:type="dxa" w:w="100"/>
              <w:bottom w:type="dxa" w:w="80"/>
              <w:right w:type="dxa" w:w="100"/>
            </w:tcMar>
          </w:tcPr>
          <w:p>
            <w:pPr>
              <w:jc w:val="left"/>
            </w:pPr>
            <w:r>
              <w:rPr>
                <w:b w:val="false"/>
                <w:bCs w:val="false"/>
                <w:color w:val="202020"/>
                <w:sz w:val="18"/>
                <w:szCs w:val="18"/>
              </w:rPr>
              <w:t xml:space="preserve">Long-life assets, integral features (electrical/lighting, lifts, heating/cooling), cars with CO2 over 50g/km</w:t>
            </w:r>
          </w:p>
        </w:tc>
      </w:tr>
      <w:tr>
        <w:tc>
          <w:tcPr>
            <w:tcW w:type="dxa" w:w="2600"/>
            <w:tcMar>
              <w:top w:type="dxa" w:w="80"/>
              <w:left w:type="dxa" w:w="100"/>
              <w:bottom w:type="dxa" w:w="80"/>
              <w:right w:type="dxa" w:w="100"/>
            </w:tcMar>
          </w:tcPr>
          <w:p>
            <w:pPr>
              <w:jc w:val="left"/>
            </w:pPr>
            <w:r>
              <w:rPr>
                <w:b w:val="false"/>
                <w:bCs w:val="false"/>
                <w:color w:val="202020"/>
                <w:sz w:val="18"/>
                <w:szCs w:val="18"/>
              </w:rPr>
              <w:t xml:space="preserve">Small pools allowance</w:t>
            </w:r>
          </w:p>
        </w:tc>
        <w:tc>
          <w:tcPr>
            <w:tcW w:type="dxa" w:w="2200"/>
            <w:tcMar>
              <w:top w:type="dxa" w:w="80"/>
              <w:left w:type="dxa" w:w="100"/>
              <w:bottom w:type="dxa" w:w="80"/>
              <w:right w:type="dxa" w:w="100"/>
            </w:tcMar>
          </w:tcPr>
          <w:p>
            <w:pPr>
              <w:jc w:val="left"/>
            </w:pPr>
            <w:r>
              <w:rPr>
                <w:b w:val="false"/>
                <w:bCs w:val="false"/>
                <w:color w:val="202020"/>
                <w:sz w:val="18"/>
                <w:szCs w:val="18"/>
              </w:rPr>
              <w:t xml:space="preserve">Write off in full</w:t>
            </w:r>
          </w:p>
        </w:tc>
        <w:tc>
          <w:tcPr>
            <w:tcW w:type="dxa" w:w="4946"/>
            <w:tcMar>
              <w:top w:type="dxa" w:w="80"/>
              <w:left w:type="dxa" w:w="100"/>
              <w:bottom w:type="dxa" w:w="80"/>
              <w:right w:type="dxa" w:w="100"/>
            </w:tcMar>
          </w:tcPr>
          <w:p>
            <w:pPr>
              <w:jc w:val="left"/>
            </w:pPr>
            <w:r>
              <w:rPr>
                <w:b w:val="false"/>
                <w:bCs w:val="false"/>
                <w:color w:val="202020"/>
                <w:sz w:val="18"/>
                <w:szCs w:val="18"/>
              </w:rPr>
              <w:t xml:space="preserve">If a pool's balance is £1,000 or less before applying the WDA percentage, the whole balance can be written off in that period instead</w:t>
            </w:r>
          </w:p>
        </w:tc>
      </w:tr>
      <w:tr>
        <w:tc>
          <w:tcPr>
            <w:tcW w:type="dxa" w:w="2600"/>
            <w:shd w:fill="F2F2F2" w:color="auto" w:val="clear"/>
            <w:tcMar>
              <w:top w:type="dxa" w:w="80"/>
              <w:left w:type="dxa" w:w="100"/>
              <w:bottom w:type="dxa" w:w="80"/>
              <w:right w:type="dxa" w:w="100"/>
            </w:tcMar>
          </w:tcPr>
          <w:p>
            <w:pPr>
              <w:jc w:val="left"/>
            </w:pPr>
            <w:r>
              <w:rPr>
                <w:b w:val="false"/>
                <w:bCs w:val="false"/>
                <w:color w:val="202020"/>
                <w:sz w:val="18"/>
                <w:szCs w:val="18"/>
              </w:rPr>
              <w:t xml:space="preserve">Zero-emission cars</w:t>
            </w:r>
          </w:p>
        </w:tc>
        <w:tc>
          <w:tcPr>
            <w:tcW w:type="dxa" w:w="2200"/>
            <w:shd w:fill="F2F2F2" w:color="auto" w:val="clear"/>
            <w:tcMar>
              <w:top w:type="dxa" w:w="80"/>
              <w:left w:type="dxa" w:w="100"/>
              <w:bottom w:type="dxa" w:w="80"/>
              <w:right w:type="dxa" w:w="100"/>
            </w:tcMar>
          </w:tcPr>
          <w:p>
            <w:pPr>
              <w:jc w:val="left"/>
            </w:pPr>
            <w:r>
              <w:rPr>
                <w:b w:val="false"/>
                <w:bCs w:val="false"/>
                <w:color w:val="202020"/>
                <w:sz w:val="18"/>
                <w:szCs w:val="18"/>
              </w:rPr>
              <w:t xml:space="preserve">100% first-year allowance</w:t>
            </w:r>
          </w:p>
        </w:tc>
        <w:tc>
          <w:tcPr>
            <w:tcW w:type="dxa" w:w="4946"/>
            <w:shd w:fill="F2F2F2" w:color="auto" w:val="clear"/>
            <w:tcMar>
              <w:top w:type="dxa" w:w="80"/>
              <w:left w:type="dxa" w:w="100"/>
              <w:bottom w:type="dxa" w:w="80"/>
              <w:right w:type="dxa" w:w="100"/>
            </w:tcMar>
          </w:tcPr>
          <w:p>
            <w:pPr>
              <w:jc w:val="left"/>
            </w:pPr>
            <w:r>
              <w:rPr>
                <w:b w:val="false"/>
                <w:bCs w:val="false"/>
                <w:color w:val="202020"/>
                <w:sz w:val="18"/>
                <w:szCs w:val="18"/>
              </w:rPr>
              <w:t xml:space="preserve">New and unused electric cars only. Extended to 31 March 2027 (Corporation Tax). Cars never qualify for AIA or full expensing under any circumstance</w:t>
            </w:r>
          </w:p>
        </w:tc>
      </w:tr>
    </w:tbl>
    <w:p>
      <w:pPr>
        <w:spacing w:after="220" w:before="60"/>
      </w:pPr>
      <w:r>
        <w:rPr>
          <w:i/>
          <w:iCs/>
          <w:color w:val="595959"/>
          <w:sz w:val="17"/>
          <w:szCs w:val="17"/>
        </w:rPr>
        <w:t xml:space="preserve">All figures current for 2026/27. Source: gov.uk Annual Investment Allowance, Full expensing, and Capital allowances: new first-year allowance and reducing main rate writing-down allowances (Autumn Budget 2025).</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8A1F2D" w:sz="4"/>
              <w:left w:val="single" w:color="8A1F2D" w:sz="4"/>
              <w:bottom w:val="single" w:color="8A1F2D" w:sz="4"/>
              <w:right w:val="single" w:color="8A1F2D" w:sz="4"/>
            </w:tcBorders>
            <w:shd w:fill="FCEEEE" w:color="auto" w:val="clear"/>
            <w:tcMar>
              <w:top w:type="dxa" w:w="140"/>
              <w:left w:type="dxa" w:w="200"/>
              <w:bottom w:type="dxa" w:w="140"/>
              <w:right w:type="dxa" w:w="200"/>
            </w:tcMar>
          </w:tcPr>
          <w:p>
            <w:pPr>
              <w:spacing w:after="60"/>
            </w:pPr>
            <w:r>
              <w:rPr>
                <w:b/>
                <w:bCs/>
                <w:color w:val="8A1F2D"/>
                <w:sz w:val="20"/>
                <w:szCs w:val="20"/>
              </w:rPr>
              <w:t xml:space="preserve">BUILD RULE 3.1.9a, the rate that changes mid-scope</w:t>
            </w:r>
          </w:p>
          <w:p>
            <w:pPr>
              <w:spacing w:after="0"/>
            </w:pPr>
            <w:r>
              <w:rPr>
                <w:color w:val="202020"/>
                <w:sz w:val="20"/>
                <w:szCs w:val="20"/>
              </w:rPr>
              <w:t xml:space="preserve">The main rate pool WDA is 14%, not the commonly-cited 18%, for any accounting period beginning on or after 1 April 2026. If your company setup flow lets a user pick an accounting period, the calculation engine must apply a hybrid blended rate for any period that straddles 1 April 2026, and 14% for anything starting after it. Do not hardcode 18%, that figure is already out of date for this platform's launch window.</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8A1F2D" w:sz="4"/>
              <w:left w:val="single" w:color="8A1F2D" w:sz="4"/>
              <w:bottom w:val="single" w:color="8A1F2D" w:sz="4"/>
              <w:right w:val="single" w:color="8A1F2D" w:sz="4"/>
            </w:tcBorders>
            <w:shd w:fill="FCEEEE" w:color="auto" w:val="clear"/>
            <w:tcMar>
              <w:top w:type="dxa" w:w="140"/>
              <w:left w:type="dxa" w:w="200"/>
              <w:bottom w:type="dxa" w:w="140"/>
              <w:right w:type="dxa" w:w="200"/>
            </w:tcMar>
          </w:tcPr>
          <w:p>
            <w:pPr>
              <w:spacing w:after="60"/>
            </w:pPr>
            <w:r>
              <w:rPr>
                <w:b/>
                <w:bCs/>
                <w:color w:val="8A1F2D"/>
                <w:sz w:val="20"/>
                <w:szCs w:val="20"/>
              </w:rPr>
              <w:t xml:space="preserve">BUILD RULE 3.1.9b</w:t>
            </w:r>
          </w:p>
          <w:p>
            <w:pPr>
              <w:spacing w:after="0"/>
            </w:pPr>
            <w:r>
              <w:rPr>
                <w:color w:val="202020"/>
                <w:sz w:val="20"/>
                <w:szCs w:val="20"/>
              </w:rPr>
              <w:t xml:space="preserve">Cars can never use AIA or full expensing, no matter how new or business-critical. They are pooled separately by CO2 band: 100% relief if zero-emission and new, main pool (14%) if 1-50g/km, special rate pool (6%) if over 50g/km. Flag any vehicle purchase in the UI and route it through this separate logic path rather than the general asset-purchase flow.</w:t>
            </w:r>
          </w:p>
        </w:tc>
      </w:tr>
    </w:tbl>
    <w:p>
      <w:pPr>
        <w:pStyle w:val="Heading3"/>
        <w:spacing w:after="100" w:before="200"/>
      </w:pPr>
      <w:r>
        <w:t xml:space="preserve">3.1.10 Disallowable expenses: what must be added back</w:t>
      </w:r>
    </w:p>
    <w:p>
      <w:pPr>
        <w:spacing w:after="150" w:line="300"/>
      </w:pPr>
      <w:r>
        <w:rPr>
          <w:color w:val="202020"/>
          <w:sz w:val="21"/>
          <w:szCs w:val="21"/>
        </w:rPr>
        <w:t xml:space="preserve">These are costs correctly charged in the statutory accounts that are not deductible for tax purposes, and must be added back to accounting profit before Corporation Tax is calculated.</w:t>
      </w:r>
    </w:p>
    <w:tbl>
      <w:tblPr>
        <w:tblW w:type="dxa" w:w="9546"/>
        <w:tblBorders>
          <w:top w:val="single" w:color="auto" w:sz="4"/>
          <w:left w:val="single" w:color="auto" w:sz="4"/>
          <w:bottom w:val="single" w:color="auto" w:sz="4"/>
          <w:right w:val="single" w:color="auto" w:sz="4"/>
          <w:insideH w:val="single" w:color="auto" w:sz="4"/>
          <w:insideV w:val="single" w:color="auto" w:sz="4"/>
        </w:tblBorders>
      </w:tblPr>
      <w:tblGrid>
        <w:gridCol w:w="2400"/>
        <w:gridCol w:w="7146"/>
      </w:tblGrid>
      <w:tr>
        <w:trPr>
          <w:tblHeader/>
        </w:trPr>
        <w:tc>
          <w:tcPr>
            <w:tcW w:type="dxa" w:w="2400"/>
            <w:shd w:fill="1F3A5F" w:color="auto" w:val="clear"/>
            <w:tcMar>
              <w:top w:type="dxa" w:w="80"/>
              <w:left w:type="dxa" w:w="100"/>
              <w:bottom w:type="dxa" w:w="80"/>
              <w:right w:type="dxa" w:w="100"/>
            </w:tcMar>
          </w:tcPr>
          <w:p>
            <w:pPr>
              <w:jc w:val="left"/>
            </w:pPr>
            <w:r>
              <w:rPr>
                <w:b/>
                <w:bCs/>
                <w:color w:val="FFFFFF"/>
                <w:sz w:val="18"/>
                <w:szCs w:val="18"/>
              </w:rPr>
              <w:t xml:space="preserve">Expense category</w:t>
            </w:r>
          </w:p>
        </w:tc>
        <w:tc>
          <w:tcPr>
            <w:tcW w:type="dxa" w:w="7146"/>
            <w:shd w:fill="1F3A5F" w:color="auto" w:val="clear"/>
            <w:tcMar>
              <w:top w:type="dxa" w:w="80"/>
              <w:left w:type="dxa" w:w="100"/>
              <w:bottom w:type="dxa" w:w="80"/>
              <w:right w:type="dxa" w:w="100"/>
            </w:tcMar>
          </w:tcPr>
          <w:p>
            <w:pPr>
              <w:jc w:val="left"/>
            </w:pPr>
            <w:r>
              <w:rPr>
                <w:b/>
                <w:bCs/>
                <w:color w:val="FFFFFF"/>
                <w:sz w:val="18"/>
                <w:szCs w:val="18"/>
              </w:rPr>
              <w:t xml:space="preserve">Rule</w:t>
            </w:r>
          </w:p>
        </w:tc>
      </w:tr>
      <w:tr>
        <w:tc>
          <w:tcPr>
            <w:tcW w:type="dxa" w:w="2400"/>
            <w:tcMar>
              <w:top w:type="dxa" w:w="80"/>
              <w:left w:type="dxa" w:w="100"/>
              <w:bottom w:type="dxa" w:w="80"/>
              <w:right w:type="dxa" w:w="100"/>
            </w:tcMar>
          </w:tcPr>
          <w:p>
            <w:pPr>
              <w:jc w:val="left"/>
            </w:pPr>
            <w:r>
              <w:rPr>
                <w:b w:val="false"/>
                <w:bCs w:val="false"/>
                <w:color w:val="202020"/>
                <w:sz w:val="18"/>
                <w:szCs w:val="18"/>
              </w:rPr>
              <w:t xml:space="preserve">Client entertainment</w:t>
            </w:r>
          </w:p>
        </w:tc>
        <w:tc>
          <w:tcPr>
            <w:tcW w:type="dxa" w:w="7146"/>
            <w:tcMar>
              <w:top w:type="dxa" w:w="80"/>
              <w:left w:type="dxa" w:w="100"/>
              <w:bottom w:type="dxa" w:w="80"/>
              <w:right w:type="dxa" w:w="100"/>
            </w:tcMar>
          </w:tcPr>
          <w:p>
            <w:pPr>
              <w:jc w:val="left"/>
            </w:pPr>
            <w:r>
              <w:rPr>
                <w:b w:val="false"/>
                <w:bCs w:val="false"/>
                <w:color w:val="202020"/>
                <w:sz w:val="18"/>
                <w:szCs w:val="18"/>
              </w:rPr>
              <w:t xml:space="preserve">Never deductible against trading profits, regardless of business purpose. Staff entertainment (e.g. a Christmas party) is treated differently and is generally allowable, do not conflate the two in the rules engine</w:t>
            </w:r>
          </w:p>
        </w:tc>
      </w:tr>
      <w:tr>
        <w:tc>
          <w:tcPr>
            <w:tcW w:type="dxa" w:w="2400"/>
            <w:shd w:fill="F2F2F2" w:color="auto" w:val="clear"/>
            <w:tcMar>
              <w:top w:type="dxa" w:w="80"/>
              <w:left w:type="dxa" w:w="100"/>
              <w:bottom w:type="dxa" w:w="80"/>
              <w:right w:type="dxa" w:w="100"/>
            </w:tcMar>
          </w:tcPr>
          <w:p>
            <w:pPr>
              <w:jc w:val="left"/>
            </w:pPr>
            <w:r>
              <w:rPr>
                <w:b w:val="false"/>
                <w:bCs w:val="false"/>
                <w:color w:val="202020"/>
                <w:sz w:val="18"/>
                <w:szCs w:val="18"/>
              </w:rPr>
              <w:t xml:space="preserve">Depreciation and amortisation</w:t>
            </w:r>
          </w:p>
        </w:tc>
        <w:tc>
          <w:tcPr>
            <w:tcW w:type="dxa" w:w="7146"/>
            <w:shd w:fill="F2F2F2" w:color="auto" w:val="clear"/>
            <w:tcMar>
              <w:top w:type="dxa" w:w="80"/>
              <w:left w:type="dxa" w:w="100"/>
              <w:bottom w:type="dxa" w:w="80"/>
              <w:right w:type="dxa" w:w="100"/>
            </w:tcMar>
          </w:tcPr>
          <w:p>
            <w:pPr>
              <w:jc w:val="left"/>
            </w:pPr>
            <w:r>
              <w:rPr>
                <w:b w:val="false"/>
                <w:bCs w:val="false"/>
                <w:color w:val="202020"/>
                <w:sz w:val="18"/>
                <w:szCs w:val="18"/>
              </w:rPr>
              <w:t xml:space="preserve">Always added back in full. Capital expenditure is never deductible in computing trading profit, relief is given instead through capital allowances (above), not depreciation</w:t>
            </w:r>
          </w:p>
        </w:tc>
      </w:tr>
      <w:tr>
        <w:tc>
          <w:tcPr>
            <w:tcW w:type="dxa" w:w="2400"/>
            <w:tcMar>
              <w:top w:type="dxa" w:w="80"/>
              <w:left w:type="dxa" w:w="100"/>
              <w:bottom w:type="dxa" w:w="80"/>
              <w:right w:type="dxa" w:w="100"/>
            </w:tcMar>
          </w:tcPr>
          <w:p>
            <w:pPr>
              <w:jc w:val="left"/>
            </w:pPr>
            <w:r>
              <w:rPr>
                <w:b w:val="false"/>
                <w:bCs w:val="false"/>
                <w:color w:val="202020"/>
                <w:sz w:val="18"/>
                <w:szCs w:val="18"/>
              </w:rPr>
              <w:t xml:space="preserve">Fines and penalties</w:t>
            </w:r>
          </w:p>
        </w:tc>
        <w:tc>
          <w:tcPr>
            <w:tcW w:type="dxa" w:w="7146"/>
            <w:tcMar>
              <w:top w:type="dxa" w:w="80"/>
              <w:left w:type="dxa" w:w="100"/>
              <w:bottom w:type="dxa" w:w="80"/>
              <w:right w:type="dxa" w:w="100"/>
            </w:tcMar>
          </w:tcPr>
          <w:p>
            <w:pPr>
              <w:jc w:val="left"/>
            </w:pPr>
            <w:r>
              <w:rPr>
                <w:b w:val="false"/>
                <w:bCs w:val="false"/>
                <w:color w:val="202020"/>
                <w:sz w:val="18"/>
                <w:szCs w:val="18"/>
              </w:rPr>
              <w:t xml:space="preserve">Not allowable, even if incurred in the course of trade (HMRC penalties, parking or speeding fines on a company vehicle, regulatory fines)</w:t>
            </w:r>
          </w:p>
        </w:tc>
      </w:tr>
      <w:tr>
        <w:tc>
          <w:tcPr>
            <w:tcW w:type="dxa" w:w="2400"/>
            <w:shd w:fill="F2F2F2" w:color="auto" w:val="clear"/>
            <w:tcMar>
              <w:top w:type="dxa" w:w="80"/>
              <w:left w:type="dxa" w:w="100"/>
              <w:bottom w:type="dxa" w:w="80"/>
              <w:right w:type="dxa" w:w="100"/>
            </w:tcMar>
          </w:tcPr>
          <w:p>
            <w:pPr>
              <w:jc w:val="left"/>
            </w:pPr>
            <w:r>
              <w:rPr>
                <w:b w:val="false"/>
                <w:bCs w:val="false"/>
                <w:color w:val="202020"/>
                <w:sz w:val="18"/>
                <w:szCs w:val="18"/>
              </w:rPr>
              <w:t xml:space="preserve">Legal and professional fees on capital transactions</w:t>
            </w:r>
          </w:p>
        </w:tc>
        <w:tc>
          <w:tcPr>
            <w:tcW w:type="dxa" w:w="7146"/>
            <w:shd w:fill="F2F2F2" w:color="auto" w:val="clear"/>
            <w:tcMar>
              <w:top w:type="dxa" w:w="80"/>
              <w:left w:type="dxa" w:w="100"/>
              <w:bottom w:type="dxa" w:w="80"/>
              <w:right w:type="dxa" w:w="100"/>
            </w:tcMar>
          </w:tcPr>
          <w:p>
            <w:pPr>
              <w:jc w:val="left"/>
            </w:pPr>
            <w:r>
              <w:rPr>
                <w:b w:val="false"/>
                <w:bCs w:val="false"/>
                <w:color w:val="202020"/>
                <w:sz w:val="18"/>
                <w:szCs w:val="18"/>
              </w:rPr>
              <w:t xml:space="preserve">Fees connected with the capital structure of the business (raising share capital, company formation, buying or selling a business or property, abortive acquisition costs) are disallowable. Routine legal fees on trading matters (debt collection, standard contracts, trading disputes) remain allowable</w:t>
            </w:r>
          </w:p>
        </w:tc>
      </w:tr>
      <w:tr>
        <w:tc>
          <w:tcPr>
            <w:tcW w:type="dxa" w:w="2400"/>
            <w:tcMar>
              <w:top w:type="dxa" w:w="80"/>
              <w:left w:type="dxa" w:w="100"/>
              <w:bottom w:type="dxa" w:w="80"/>
              <w:right w:type="dxa" w:w="100"/>
            </w:tcMar>
          </w:tcPr>
          <w:p>
            <w:pPr>
              <w:jc w:val="left"/>
            </w:pPr>
            <w:r>
              <w:rPr>
                <w:b w:val="false"/>
                <w:bCs w:val="false"/>
                <w:color w:val="202020"/>
                <w:sz w:val="18"/>
                <w:szCs w:val="18"/>
              </w:rPr>
              <w:t xml:space="preserve">Donations</w:t>
            </w:r>
          </w:p>
        </w:tc>
        <w:tc>
          <w:tcPr>
            <w:tcW w:type="dxa" w:w="7146"/>
            <w:tcMar>
              <w:top w:type="dxa" w:w="80"/>
              <w:left w:type="dxa" w:w="100"/>
              <w:bottom w:type="dxa" w:w="80"/>
              <w:right w:type="dxa" w:w="100"/>
            </w:tcMar>
          </w:tcPr>
          <w:p>
            <w:pPr>
              <w:jc w:val="left"/>
            </w:pPr>
            <w:r>
              <w:rPr>
                <w:b w:val="false"/>
                <w:bCs w:val="false"/>
                <w:color w:val="202020"/>
                <w:sz w:val="18"/>
                <w:szCs w:val="18"/>
              </w:rPr>
              <w:t xml:space="preserve">Only qualifying charitable donations (QCD, the company equivalent of Gift Aid) are deductible, and they come off total profits, not trading profit. Political donations and non-qualifying sponsorship must be added back at the trading level</w:t>
            </w:r>
          </w:p>
        </w:tc>
      </w:tr>
      <w:tr>
        <w:tc>
          <w:tcPr>
            <w:tcW w:type="dxa" w:w="2400"/>
            <w:shd w:fill="F2F2F2" w:color="auto" w:val="clear"/>
            <w:tcMar>
              <w:top w:type="dxa" w:w="80"/>
              <w:left w:type="dxa" w:w="100"/>
              <w:bottom w:type="dxa" w:w="80"/>
              <w:right w:type="dxa" w:w="100"/>
            </w:tcMar>
          </w:tcPr>
          <w:p>
            <w:pPr>
              <w:jc w:val="left"/>
            </w:pPr>
            <w:r>
              <w:rPr>
                <w:b w:val="false"/>
                <w:bCs w:val="false"/>
                <w:color w:val="202020"/>
                <w:sz w:val="18"/>
                <w:szCs w:val="18"/>
              </w:rPr>
              <w:t xml:space="preserve">General non-trade expenditure</w:t>
            </w:r>
          </w:p>
        </w:tc>
        <w:tc>
          <w:tcPr>
            <w:tcW w:type="dxa" w:w="7146"/>
            <w:shd w:fill="F2F2F2" w:color="auto" w:val="clear"/>
            <w:tcMar>
              <w:top w:type="dxa" w:w="80"/>
              <w:left w:type="dxa" w:w="100"/>
              <w:bottom w:type="dxa" w:w="80"/>
              <w:right w:type="dxa" w:w="100"/>
            </w:tcMar>
          </w:tcPr>
          <w:p>
            <w:pPr>
              <w:jc w:val="left"/>
            </w:pPr>
            <w:r>
              <w:rPr>
                <w:b w:val="false"/>
                <w:bCs w:val="false"/>
                <w:color w:val="202020"/>
                <w:sz w:val="18"/>
                <w:szCs w:val="18"/>
              </w:rPr>
              <w:t xml:space="preserve">Any cost not incurred wholly and exclusively for the trade is disallowed: private/non-trade elements, dividends paid, appropriations of profit, and Corporation Tax itself</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8A1F2D" w:sz="4"/>
              <w:left w:val="single" w:color="8A1F2D" w:sz="4"/>
              <w:bottom w:val="single" w:color="8A1F2D" w:sz="4"/>
              <w:right w:val="single" w:color="8A1F2D" w:sz="4"/>
            </w:tcBorders>
            <w:shd w:fill="FCEEEE" w:color="auto" w:val="clear"/>
            <w:tcMar>
              <w:top w:type="dxa" w:w="140"/>
              <w:left w:type="dxa" w:w="200"/>
              <w:bottom w:type="dxa" w:w="140"/>
              <w:right w:type="dxa" w:w="200"/>
            </w:tcMar>
          </w:tcPr>
          <w:p>
            <w:pPr>
              <w:spacing w:after="60"/>
            </w:pPr>
            <w:r>
              <w:rPr>
                <w:b/>
                <w:bCs/>
                <w:color w:val="8A1F2D"/>
                <w:sz w:val="20"/>
                <w:szCs w:val="20"/>
              </w:rPr>
              <w:t xml:space="preserve">BUILD RULE 3.1.10</w:t>
            </w:r>
          </w:p>
          <w:p>
            <w:pPr>
              <w:spacing w:after="0"/>
            </w:pPr>
            <w:r>
              <w:rPr>
                <w:color w:val="202020"/>
                <w:sz w:val="20"/>
                <w:szCs w:val="20"/>
              </w:rPr>
              <w:t xml:space="preserve">This table is a core set, not exhaustive. A full CT600 rules engine should eventually also cover: impairment of investments, general/uncrystallised provisions, non-trivial gifts, subscriptions to non-trade bodies, and pension contributions paid but not yet made. Build the UI to guide a non-accountant user through this small set with plain-English prompts ("did you pay any parking or speeding fines through the company?") rather than presenting a blank professional tax-adjustments form.</w:t>
            </w:r>
          </w:p>
        </w:tc>
      </w:tr>
    </w:tbl>
    <w:p>
      <w:pPr>
        <w:pStyle w:val="Heading3"/>
        <w:spacing w:after="100" w:before="200"/>
      </w:pPr>
      <w:r>
        <w:t xml:space="preserve">3.1.11 Worked example: the full bridge from accounting profit to Corporation Tax payable</w:t>
      </w:r>
    </w:p>
    <w:p>
      <w:pPr>
        <w:spacing w:after="150" w:line="300"/>
      </w:pPr>
      <w:r>
        <w:rPr>
          <w:color w:val="202020"/>
          <w:sz w:val="21"/>
          <w:szCs w:val="21"/>
        </w:rPr>
        <w:t xml:space="preserve">A small trading company, accounting profit before tax £120,000. Included in that figure: £15,000 depreciation and £2,000 client entertainment. The company also bought £30,000 of new, qualifying plant and machinery during the year.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shd w:fill="1F2937" w:color="auto" w:val="clear"/>
            <w:tcMar>
              <w:top w:type="dxa" w:w="160"/>
              <w:left w:type="dxa" w:w="200"/>
              <w:bottom w:type="dxa" w:w="160"/>
              <w:right w:type="dxa" w:w="200"/>
            </w:tcMar>
          </w:tcPr>
          <w:p>
            <w:pPr>
              <w:spacing w:after="40"/>
            </w:pPr>
            <w:r>
              <w:rPr>
                <w:rFonts w:ascii="Consolas" w:cs="Consolas" w:eastAsia="Consolas" w:hAnsi="Consolas"/>
                <w:color w:val="E5E7EB"/>
                <w:sz w:val="19"/>
                <w:szCs w:val="19"/>
              </w:rPr>
              <w:t xml:space="preserve">Step 1: Accounting profit before tax (per statutory accounts)         = £120,000</w:t>
            </w:r>
          </w:p>
          <w:p>
            <w:pPr>
              <w:spacing w:after="40"/>
            </w:pPr>
            <w:r>
              <w:rPr>
                <w:rFonts w:ascii="Consolas" w:cs="Consolas" w:eastAsia="Consolas" w:hAnsi="Consolas"/>
                <w:color w:val="E5E7EB"/>
                <w:sz w:val="19"/>
                <w:szCs w:val="19"/>
              </w:rPr>
              <w:t xml:space="preserve">Step 2: Add back depreciation (Rule 3.1.10, capital item)             = +£15,000</w:t>
            </w:r>
          </w:p>
          <w:p>
            <w:pPr>
              <w:spacing w:after="40"/>
            </w:pPr>
            <w:r>
              <w:rPr>
                <w:rFonts w:ascii="Consolas" w:cs="Consolas" w:eastAsia="Consolas" w:hAnsi="Consolas"/>
                <w:color w:val="E5E7EB"/>
                <w:sz w:val="19"/>
                <w:szCs w:val="19"/>
              </w:rPr>
              <w:t xml:space="preserve">Step 3: Add back client entertainment (Rule 3.1.10)                   =  +£2,000</w:t>
            </w:r>
          </w:p>
          <w:p>
            <w:pPr>
              <w:spacing w:after="40"/>
            </w:pPr>
            <w:r>
              <w:rPr>
                <w:rFonts w:ascii="Consolas" w:cs="Consolas" w:eastAsia="Consolas" w:hAnsi="Consolas"/>
                <w:color w:val="E5E7EB"/>
                <w:sz w:val="19"/>
                <w:szCs w:val="19"/>
              </w:rPr>
              <w:t xml:space="preserve">Step 4: Subtotal, adjusted trading profit before capital allowances   = £137,000</w:t>
            </w:r>
          </w:p>
          <w:p>
            <w:pPr>
              <w:spacing w:after="40"/>
            </w:pPr>
            <w:r>
              <w:rPr>
                <w:rFonts w:ascii="Consolas" w:cs="Consolas" w:eastAsia="Consolas" w:hAnsi="Consolas"/>
                <w:color w:val="E5E7EB"/>
                <w:sz w:val="19"/>
                <w:szCs w:val="19"/>
              </w:rPr>
              <w:t xml:space="preserve">Step 5: Deduct AIA on £30,000 qualifying purchase (Rule 3.1.9, 100%)  = -£30,000</w:t>
            </w:r>
          </w:p>
          <w:p>
            <w:pPr>
              <w:spacing w:after="40"/>
            </w:pPr>
            <w:r>
              <w:rPr>
                <w:rFonts w:ascii="Consolas" w:cs="Consolas" w:eastAsia="Consolas" w:hAnsi="Consolas"/>
                <w:color w:val="E5E7EB"/>
                <w:sz w:val="19"/>
                <w:szCs w:val="19"/>
              </w:rPr>
              <w:t xml:space="preserve">Step 6: TAXABLE PROFIT                                                = £107,000</w:t>
            </w:r>
          </w:p>
          <w:p>
            <w:pPr>
              <w:spacing w:after="40"/>
            </w:pPr>
            <w:r>
              <w:rPr>
                <w:rFonts w:ascii="Consolas" w:cs="Consolas" w:eastAsia="Consolas" w:hAnsi="Consolas"/>
                <w:color w:val="E5E7EB"/>
                <w:sz w:val="19"/>
                <w:szCs w:val="19"/>
              </w:rPr>
              <w:t xml:space="preserve"/>
            </w:r>
          </w:p>
          <w:p>
            <w:pPr>
              <w:spacing w:after="40"/>
            </w:pPr>
            <w:r>
              <w:rPr>
                <w:rFonts w:ascii="Consolas" w:cs="Consolas" w:eastAsia="Consolas" w:hAnsi="Consolas"/>
                <w:color w:val="E5E7EB"/>
                <w:sz w:val="19"/>
                <w:szCs w:val="19"/>
              </w:rPr>
              <w:t xml:space="preserve">Step 7: Apply the Section 3.1.2 marginal relief formula to £107,000:</w:t>
            </w:r>
          </w:p>
          <w:p>
            <w:pPr>
              <w:spacing w:after="40"/>
            </w:pPr>
            <w:r>
              <w:rPr>
                <w:rFonts w:ascii="Consolas" w:cs="Consolas" w:eastAsia="Consolas" w:hAnsi="Consolas"/>
                <w:color w:val="E5E7EB"/>
                <w:sz w:val="19"/>
                <w:szCs w:val="19"/>
              </w:rPr>
              <w:t xml:space="preserve">  Tax at main rate  = £107,000 x 25% = £26,750</w:t>
            </w:r>
          </w:p>
          <w:p>
            <w:pPr>
              <w:spacing w:after="40"/>
            </w:pPr>
            <w:r>
              <w:rPr>
                <w:rFonts w:ascii="Consolas" w:cs="Consolas" w:eastAsia="Consolas" w:hAnsi="Consolas"/>
                <w:color w:val="E5E7EB"/>
                <w:sz w:val="19"/>
                <w:szCs w:val="19"/>
              </w:rPr>
              <w:t xml:space="preserve">  MarginalRelief     = (£250,000 - £107,000) x 1 x 3/200 = £2,145</w:t>
            </w:r>
          </w:p>
          <w:p>
            <w:pPr>
              <w:spacing w:after="40"/>
            </w:pPr>
            <w:r>
              <w:rPr>
                <w:rFonts w:ascii="Consolas" w:cs="Consolas" w:eastAsia="Consolas" w:hAnsi="Consolas"/>
                <w:color w:val="E5E7EB"/>
                <w:sz w:val="19"/>
                <w:szCs w:val="19"/>
              </w:rPr>
              <w:t xml:space="preserve">  CORPORATION TAX PAYABLE = £26,750 - £2,145 = £24,605</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8A1F2D" w:sz="4"/>
              <w:left w:val="single" w:color="8A1F2D" w:sz="4"/>
              <w:bottom w:val="single" w:color="8A1F2D" w:sz="4"/>
              <w:right w:val="single" w:color="8A1F2D" w:sz="4"/>
            </w:tcBorders>
            <w:shd w:fill="FCEEEE" w:color="auto" w:val="clear"/>
            <w:tcMar>
              <w:top w:type="dxa" w:w="140"/>
              <w:left w:type="dxa" w:w="200"/>
              <w:bottom w:type="dxa" w:w="140"/>
              <w:right w:type="dxa" w:w="200"/>
            </w:tcMar>
          </w:tcPr>
          <w:p>
            <w:pPr>
              <w:spacing w:after="60"/>
            </w:pPr>
            <w:r>
              <w:rPr>
                <w:b/>
                <w:bCs/>
                <w:color w:val="8A1F2D"/>
                <w:sz w:val="20"/>
                <w:szCs w:val="20"/>
              </w:rPr>
              <w:t xml:space="preserve">BUILD RULE 3.1.11</w:t>
            </w:r>
          </w:p>
          <w:p>
            <w:pPr>
              <w:spacing w:after="0"/>
            </w:pPr>
            <w:r>
              <w:rPr>
                <w:color w:val="202020"/>
                <w:sz w:val="20"/>
                <w:szCs w:val="20"/>
              </w:rPr>
              <w:t xml:space="preserve">Use £107,000 taxable profit and £24,605 Corporation Tax payable as a second permanent regression test, chained directly onto the Rule 3.1.3 test. If a future change to either the adjustments logic or the marginal relief engine produces anything other than these two figures for this exact input set, something in the pipeline is broken.</w:t>
            </w:r>
          </w:p>
        </w:tc>
      </w:tr>
    </w:tbl>
    <w:p>
      <w:pPr>
        <w:pStyle w:val="Heading3"/>
        <w:spacing w:after="100" w:before="200"/>
      </w:pPr>
      <w:r>
        <w:t xml:space="preserve">3.1.12 Trading losses: carry-back and carry-forward</w:t>
      </w:r>
    </w:p>
    <w:p>
      <w:pPr>
        <w:spacing w:after="150" w:line="300"/>
      </w:pPr>
      <w:r>
        <w:rPr>
          <w:color w:val="202020"/>
          <w:sz w:val="21"/>
          <w:szCs w:val="21"/>
        </w:rPr>
        <w:t xml:space="preserve">If a company makes a trading loss instead of a profit, it isn't simply ignored, it can be used to reduce tax in another period. Two routes, and the platform should let the user choose between them rather than silently picking one.</w:t>
      </w:r>
    </w:p>
    <w:p>
      <w:pPr>
        <w:pStyle w:val="ListParagraph"/>
        <w:numPr>
          <w:ilvl w:val="0"/>
          <w:numId w:val="3"/>
        </w:numPr>
        <w:spacing w:after="90" w:line="290"/>
      </w:pPr>
      <w:r>
        <w:rPr>
          <w:color w:val="202020"/>
          <w:sz w:val="21"/>
          <w:szCs w:val="21"/>
        </w:rPr>
        <w:t xml:space="preserve">Carry-back: set the loss against the previous 12 months' profit, generating an immediate, quantifiable cash refund of tax already paid. Amount relieved is the lesser of the loss available or the prior period's profit.</w:t>
      </w:r>
    </w:p>
    <w:p>
      <w:pPr>
        <w:pStyle w:val="ListParagraph"/>
        <w:numPr>
          <w:ilvl w:val="0"/>
          <w:numId w:val="3"/>
        </w:numPr>
        <w:spacing w:after="90" w:line="290"/>
      </w:pPr>
      <w:r>
        <w:rPr>
          <w:color w:val="202020"/>
          <w:sz w:val="21"/>
          <w:szCs w:val="21"/>
        </w:rPr>
        <w:t xml:space="preserve">Carry-forward: set the loss against the company's total profits (not just the same trade) in future periods, for as long as the trade continues. No immediate refund, benefit is deferred and its size depends on future profits and rates. For SMEs the £5m/50% large-profits restriction on carried-forward losses essentially never applies, it is a documentation footnote for this user base, not an operative constraint.</w:t>
      </w:r>
    </w:p>
    <w:p>
      <w:pPr>
        <w:pStyle w:val="ListParagraph"/>
        <w:numPr>
          <w:ilvl w:val="0"/>
          <w:numId w:val="3"/>
        </w:numPr>
        <w:spacing w:after="90" w:line="290"/>
      </w:pPr>
      <w:r>
        <w:rPr>
          <w:color w:val="202020"/>
          <w:sz w:val="21"/>
          <w:szCs w:val="21"/>
        </w:rPr>
        <w:t xml:space="preserve">Claims for either route must be made within 2 years of the end of the loss-making accounting period, this overrides the general 4-year claims deadline.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shd w:fill="1F2937" w:color="auto" w:val="clear"/>
            <w:tcMar>
              <w:top w:type="dxa" w:w="160"/>
              <w:left w:type="dxa" w:w="200"/>
              <w:bottom w:type="dxa" w:w="160"/>
              <w:right w:type="dxa" w:w="200"/>
            </w:tcMar>
          </w:tcPr>
          <w:p>
            <w:pPr>
              <w:spacing w:after="40"/>
            </w:pPr>
            <w:r>
              <w:rPr>
                <w:rFonts w:ascii="Consolas" w:cs="Consolas" w:eastAsia="Consolas" w:hAnsi="Consolas"/>
                <w:color w:val="E5E7EB"/>
                <w:sz w:val="19"/>
                <w:szCs w:val="19"/>
              </w:rPr>
              <w:t xml:space="preserve">Example: AP ended 31 Dec 2026 makes a trading loss of £20,000.</w:t>
            </w:r>
          </w:p>
          <w:p>
            <w:pPr>
              <w:spacing w:after="40"/>
            </w:pPr>
            <w:r>
              <w:rPr>
                <w:rFonts w:ascii="Consolas" w:cs="Consolas" w:eastAsia="Consolas" w:hAnsi="Consolas"/>
                <w:color w:val="E5E7EB"/>
                <w:sz w:val="19"/>
                <w:szCs w:val="19"/>
              </w:rPr>
              <w:t xml:space="preserve">Prior AP (ended 31 Dec 2025) had taxable profit £35,000, CT already paid at 19% = £6,650.</w:t>
            </w:r>
          </w:p>
          <w:p>
            <w:pPr>
              <w:spacing w:after="40"/>
            </w:pPr>
            <w:r>
              <w:rPr>
                <w:rFonts w:ascii="Consolas" w:cs="Consolas" w:eastAsia="Consolas" w:hAnsi="Consolas"/>
                <w:color w:val="E5E7EB"/>
                <w:sz w:val="19"/>
                <w:szCs w:val="19"/>
              </w:rPr>
              <w:t xml:space="preserve"/>
            </w:r>
          </w:p>
          <w:p>
            <w:pPr>
              <w:spacing w:after="40"/>
            </w:pPr>
            <w:r>
              <w:rPr>
                <w:rFonts w:ascii="Consolas" w:cs="Consolas" w:eastAsia="Consolas" w:hAnsi="Consolas"/>
                <w:color w:val="E5E7EB"/>
                <w:sz w:val="19"/>
                <w:szCs w:val="19"/>
              </w:rPr>
              <w:t xml:space="preserve">CARRY-BACK route:</w:t>
            </w:r>
          </w:p>
          <w:p>
            <w:pPr>
              <w:spacing w:after="40"/>
            </w:pPr>
            <w:r>
              <w:rPr>
                <w:rFonts w:ascii="Consolas" w:cs="Consolas" w:eastAsia="Consolas" w:hAnsi="Consolas"/>
                <w:color w:val="E5E7EB"/>
                <w:sz w:val="19"/>
                <w:szCs w:val="19"/>
              </w:rPr>
              <w:t xml:space="preserve">  Revised prior-year taxable profit = £35,000 - £20,000 = £15,000</w:t>
            </w:r>
          </w:p>
          <w:p>
            <w:pPr>
              <w:spacing w:after="40"/>
            </w:pPr>
            <w:r>
              <w:rPr>
                <w:rFonts w:ascii="Consolas" w:cs="Consolas" w:eastAsia="Consolas" w:hAnsi="Consolas"/>
                <w:color w:val="E5E7EB"/>
                <w:sz w:val="19"/>
                <w:szCs w:val="19"/>
              </w:rPr>
              <w:t xml:space="preserve">  Revised prior-year CT = £15,000 x 19% = £2,850</w:t>
            </w:r>
          </w:p>
          <w:p>
            <w:pPr>
              <w:spacing w:after="40"/>
            </w:pPr>
            <w:r>
              <w:rPr>
                <w:rFonts w:ascii="Consolas" w:cs="Consolas" w:eastAsia="Consolas" w:hAnsi="Consolas"/>
                <w:color w:val="E5E7EB"/>
                <w:sz w:val="19"/>
                <w:szCs w:val="19"/>
              </w:rPr>
              <w:t xml:space="preserve">  CT REPAYMENT DUE = £6,650 - £2,850 = £3,800, claimable by 31 Dec 2028</w:t>
            </w:r>
          </w:p>
          <w:p>
            <w:pPr>
              <w:spacing w:after="40"/>
            </w:pPr>
            <w:r>
              <w:rPr>
                <w:rFonts w:ascii="Consolas" w:cs="Consolas" w:eastAsia="Consolas" w:hAnsi="Consolas"/>
                <w:color w:val="E5E7EB"/>
                <w:sz w:val="19"/>
                <w:szCs w:val="19"/>
              </w:rPr>
              <w:t xml:space="preserve"/>
            </w:r>
          </w:p>
          <w:p>
            <w:pPr>
              <w:spacing w:after="40"/>
            </w:pPr>
            <w:r>
              <w:rPr>
                <w:rFonts w:ascii="Consolas" w:cs="Consolas" w:eastAsia="Consolas" w:hAnsi="Consolas"/>
                <w:color w:val="E5E7EB"/>
                <w:sz w:val="19"/>
                <w:szCs w:val="19"/>
              </w:rPr>
              <w:t xml:space="preserve">CARRY-FORWARD route (alternative, not combinable with the above for the same £20,000):</w:t>
            </w:r>
          </w:p>
          <w:p>
            <w:pPr>
              <w:spacing w:after="40"/>
            </w:pPr>
            <w:r>
              <w:rPr>
                <w:rFonts w:ascii="Consolas" w:cs="Consolas" w:eastAsia="Consolas" w:hAnsi="Consolas"/>
                <w:color w:val="E5E7EB"/>
                <w:sz w:val="19"/>
                <w:szCs w:val="19"/>
              </w:rPr>
              <w:t xml:space="preserve">  No repayment now. Full £20,000 carries into AP ending 31 Dec 2027 onward,</w:t>
            </w:r>
          </w:p>
          <w:p>
            <w:pPr>
              <w:spacing w:after="40"/>
            </w:pPr>
            <w:r>
              <w:rPr>
                <w:rFonts w:ascii="Consolas" w:cs="Consolas" w:eastAsia="Consolas" w:hAnsi="Consolas"/>
                <w:color w:val="E5E7EB"/>
                <w:sz w:val="19"/>
                <w:szCs w:val="19"/>
              </w:rPr>
              <w:t xml:space="preserve">  set against total profits whenever they arise. No £5m restriction risk at this scale.</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8A1F2D" w:sz="4"/>
              <w:left w:val="single" w:color="8A1F2D" w:sz="4"/>
              <w:bottom w:val="single" w:color="8A1F2D" w:sz="4"/>
              <w:right w:val="single" w:color="8A1F2D" w:sz="4"/>
            </w:tcBorders>
            <w:shd w:fill="FCEEEE" w:color="auto" w:val="clear"/>
            <w:tcMar>
              <w:top w:type="dxa" w:w="140"/>
              <w:left w:type="dxa" w:w="200"/>
              <w:bottom w:type="dxa" w:w="140"/>
              <w:right w:type="dxa" w:w="200"/>
            </w:tcMar>
          </w:tcPr>
          <w:p>
            <w:pPr>
              <w:spacing w:after="60"/>
            </w:pPr>
            <w:r>
              <w:rPr>
                <w:b/>
                <w:bCs/>
                <w:color w:val="8A1F2D"/>
                <w:sz w:val="20"/>
                <w:szCs w:val="20"/>
              </w:rPr>
              <w:t xml:space="preserve">BUILD RULE 3.1.12</w:t>
            </w:r>
          </w:p>
          <w:p>
            <w:pPr>
              <w:spacing w:after="0"/>
            </w:pPr>
            <w:r>
              <w:rPr>
                <w:color w:val="202020"/>
                <w:sz w:val="20"/>
                <w:szCs w:val="20"/>
              </w:rPr>
              <w:t xml:space="preserve">This is the company's election, not an automatic calculation. Surface both outcomes side by side in the UI ("claim a £3,800 refund now" vs "carry forward £20,000 against future tax") and let the user pick, rather than defaulting silently to either route.</w:t>
            </w:r>
          </w:p>
        </w:tc>
      </w:tr>
    </w:tbl>
    <w:p>
      <w:pPr>
        <w:pStyle w:val="Heading3"/>
        <w:spacing w:after="100" w:before="200"/>
      </w:pPr>
      <w:r>
        <w:t xml:space="preserve">3.1.13 Director's loan account and section 455 tax</w:t>
      </w:r>
    </w:p>
    <w:p>
      <w:pPr>
        <w:spacing w:after="150" w:line="300"/>
      </w:pPr>
      <w:r>
        <w:rPr>
          <w:color w:val="202020"/>
          <w:sz w:val="21"/>
          <w:szCs w:val="21"/>
        </w:rPr>
        <w:t xml:space="preserve">This is a common scenario for one-person and family-owned companies ("close companies", broadly any company controlled by 5 or fewer participators, which covers nearly every micro-entity on this platform), and is completely absent from most simplified tax software. If a director borrows money from their own company and it is not repaid by the end of the accounting period, two separate tax consequences follow.</w:t>
      </w:r>
    </w:p>
    <w:p>
      <w:pPr>
        <w:pStyle w:val="ListParagraph"/>
        <w:numPr>
          <w:ilvl w:val="0"/>
          <w:numId w:val="3"/>
        </w:numPr>
        <w:spacing w:after="90" w:line="290"/>
      </w:pPr>
      <w:r>
        <w:rPr>
          <w:color w:val="202020"/>
          <w:sz w:val="21"/>
          <w:szCs w:val="21"/>
        </w:rPr>
        <w:t xml:space="preserve">Section 455 (s455) tax on the company, charged if the loan is not repaid within 9 months and 1 day of the accounting period end. This is a company-level charge, not a personal one, reported via the CT600A supplementary form. The rate is NOT a single constant, it tracks the dividend upper rate and is fixed by the date the loan was made, not the date the accounting period ends, see the rate table and Rule 3.1.13a immediately below.</w:t>
      </w:r>
    </w:p>
    <w:p>
      <w:pPr>
        <w:pStyle w:val="ListParagraph"/>
        <w:numPr>
          <w:ilvl w:val="0"/>
          <w:numId w:val="3"/>
        </w:numPr>
        <w:spacing w:after="90" w:line="290"/>
      </w:pPr>
      <w:r>
        <w:rPr>
          <w:color w:val="202020"/>
          <w:sz w:val="21"/>
          <w:szCs w:val="21"/>
        </w:rPr>
        <w:t xml:space="preserve">Benefit-in-kind on the director personally: if the combined outstanding loan balance exceeds £10,000 at any point in the tax year and is interest-free or below HMRC's official rate (3.75% from 6 April 2026), the interest-free benefit must be reported on the director's P11D, with Class 1A NIC paid by the company via P11D(b). This is a separate, parallel obligation to s455, both can apply to the same loan.</w:t>
      </w:r>
    </w:p>
    <w:p>
      <w:pPr>
        <w:pStyle w:val="ListParagraph"/>
        <w:numPr>
          <w:ilvl w:val="0"/>
          <w:numId w:val="3"/>
        </w:numPr>
        <w:spacing w:after="90" w:line="290"/>
      </w:pPr>
      <w:r>
        <w:rPr>
          <w:color w:val="202020"/>
          <w:sz w:val="21"/>
          <w:szCs w:val="21"/>
        </w:rPr>
        <w:t xml:space="preserve">Anti-avoidance ("bed and breakfasting"): if £5,000 or more is repaid and £5,000 or more re-borrowed within any 30-day window, the repayment is matched against the new loan instead, defeating the relief. A broader rule can deny relief outside the 30-day window too, where the outstanding balance before repayment exceeds £15,000 and HMRC can show arrangements to redraw the loan.</w:t>
      </w:r>
    </w:p>
    <w:p>
      <w:pPr>
        <w:pStyle w:val="Heading3"/>
        <w:spacing w:after="100" w:before="200"/>
      </w:pPr>
      <w:r>
        <w:t xml:space="preserve">3.1.13a The s455 rate is date-banded, per loan</w:t>
      </w:r>
    </w:p>
    <w:p>
      <w:pPr>
        <w:spacing w:after="150" w:line="300"/>
      </w:pPr>
      <w:r>
        <w:rPr>
          <w:color w:val="202020"/>
          <w:sz w:val="21"/>
          <w:szCs w:val="21"/>
        </w:rPr>
        <w:t xml:space="preserve">The 33.75% figure quoted in most general tax guidance is only correct for loans made between 6 April 2022 and 5 April 2026. Software that hardcodes a single s455 percentage will silently misstate the charge for any loan made outside that four-year window, and this platform spans exactly that kind of boundary at launch.</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900"/>
        <w:gridCol w:w="2200"/>
        <w:gridCol w:w="4646"/>
      </w:tblGrid>
      <w:tr>
        <w:trPr>
          <w:tblHeader/>
        </w:trPr>
        <w:tc>
          <w:tcPr>
            <w:tcW w:type="dxa" w:w="2900"/>
            <w:shd w:fill="1F3A5F" w:color="auto" w:val="clear"/>
            <w:tcMar>
              <w:top w:type="dxa" w:w="80"/>
              <w:left w:type="dxa" w:w="100"/>
              <w:bottom w:type="dxa" w:w="80"/>
              <w:right w:type="dxa" w:w="100"/>
            </w:tcMar>
          </w:tcPr>
          <w:p>
            <w:pPr>
              <w:jc w:val="left"/>
            </w:pPr>
            <w:r>
              <w:rPr>
                <w:b/>
                <w:bCs/>
                <w:color w:val="FFFFFF"/>
                <w:sz w:val="18"/>
                <w:szCs w:val="18"/>
              </w:rPr>
              <w:t xml:space="preserve">Loan made on or after</w:t>
            </w:r>
          </w:p>
        </w:tc>
        <w:tc>
          <w:tcPr>
            <w:tcW w:type="dxa" w:w="2200"/>
            <w:shd w:fill="1F3A5F" w:color="auto" w:val="clear"/>
            <w:tcMar>
              <w:top w:type="dxa" w:w="80"/>
              <w:left w:type="dxa" w:w="100"/>
              <w:bottom w:type="dxa" w:w="80"/>
              <w:right w:type="dxa" w:w="100"/>
            </w:tcMar>
          </w:tcPr>
          <w:p>
            <w:pPr>
              <w:jc w:val="left"/>
            </w:pPr>
            <w:r>
              <w:rPr>
                <w:b/>
                <w:bCs/>
                <w:color w:val="FFFFFF"/>
                <w:sz w:val="18"/>
                <w:szCs w:val="18"/>
              </w:rPr>
              <w:t xml:space="preserve">s455 rate</w:t>
            </w:r>
          </w:p>
        </w:tc>
        <w:tc>
          <w:tcPr>
            <w:tcW w:type="dxa" w:w="4646"/>
            <w:shd w:fill="1F3A5F" w:color="auto" w:val="clear"/>
            <w:tcMar>
              <w:top w:type="dxa" w:w="80"/>
              <w:left w:type="dxa" w:w="100"/>
              <w:bottom w:type="dxa" w:w="80"/>
              <w:right w:type="dxa" w:w="100"/>
            </w:tcMar>
          </w:tcPr>
          <w:p>
            <w:pPr>
              <w:jc w:val="left"/>
            </w:pPr>
            <w:r>
              <w:rPr>
                <w:b/>
                <w:bCs/>
                <w:color w:val="FFFFFF"/>
                <w:sz w:val="18"/>
                <w:szCs w:val="18"/>
              </w:rPr>
              <w:t xml:space="preserve">Note</w:t>
            </w:r>
          </w:p>
        </w:tc>
      </w:tr>
      <w:tr>
        <w:tc>
          <w:tcPr>
            <w:tcW w:type="dxa" w:w="2900"/>
            <w:tcMar>
              <w:top w:type="dxa" w:w="80"/>
              <w:left w:type="dxa" w:w="100"/>
              <w:bottom w:type="dxa" w:w="80"/>
              <w:right w:type="dxa" w:w="100"/>
            </w:tcMar>
          </w:tcPr>
          <w:p>
            <w:pPr>
              <w:jc w:val="left"/>
            </w:pPr>
            <w:r>
              <w:rPr>
                <w:b w:val="false"/>
                <w:bCs w:val="false"/>
                <w:color w:val="202020"/>
                <w:sz w:val="18"/>
                <w:szCs w:val="18"/>
              </w:rPr>
              <w:t xml:space="preserve">6 April 1999 (effectively, any earlier loan)</w:t>
            </w:r>
          </w:p>
        </w:tc>
        <w:tc>
          <w:tcPr>
            <w:tcW w:type="dxa" w:w="2200"/>
            <w:tcMar>
              <w:top w:type="dxa" w:w="80"/>
              <w:left w:type="dxa" w:w="100"/>
              <w:bottom w:type="dxa" w:w="80"/>
              <w:right w:type="dxa" w:w="100"/>
            </w:tcMar>
          </w:tcPr>
          <w:p>
            <w:pPr>
              <w:jc w:val="left"/>
            </w:pPr>
            <w:r>
              <w:rPr>
                <w:b w:val="false"/>
                <w:bCs w:val="false"/>
                <w:color w:val="202020"/>
                <w:sz w:val="18"/>
                <w:szCs w:val="18"/>
              </w:rPr>
              <w:t xml:space="preserve">25%</w:t>
            </w:r>
          </w:p>
        </w:tc>
        <w:tc>
          <w:tcPr>
            <w:tcW w:type="dxa" w:w="4646"/>
            <w:tcMar>
              <w:top w:type="dxa" w:w="80"/>
              <w:left w:type="dxa" w:w="100"/>
              <w:bottom w:type="dxa" w:w="80"/>
              <w:right w:type="dxa" w:w="100"/>
            </w:tcMar>
          </w:tcPr>
          <w:p>
            <w:pPr>
              <w:jc w:val="left"/>
            </w:pPr>
            <w:r>
              <w:rPr>
                <w:b w:val="false"/>
                <w:bCs w:val="false"/>
                <w:color w:val="202020"/>
                <w:sz w:val="18"/>
                <w:szCs w:val="18"/>
              </w:rPr>
              <w:t xml:space="preserve">Pre-2016 rate, relevant only to very old, still-outstanding loans</w:t>
            </w:r>
          </w:p>
        </w:tc>
      </w:tr>
      <w:tr>
        <w:tc>
          <w:tcPr>
            <w:tcW w:type="dxa" w:w="2900"/>
            <w:shd w:fill="F2F2F2" w:color="auto" w:val="clear"/>
            <w:tcMar>
              <w:top w:type="dxa" w:w="80"/>
              <w:left w:type="dxa" w:w="100"/>
              <w:bottom w:type="dxa" w:w="80"/>
              <w:right w:type="dxa" w:w="100"/>
            </w:tcMar>
          </w:tcPr>
          <w:p>
            <w:pPr>
              <w:jc w:val="left"/>
            </w:pPr>
            <w:r>
              <w:rPr>
                <w:b w:val="false"/>
                <w:bCs w:val="false"/>
                <w:color w:val="202020"/>
                <w:sz w:val="18"/>
                <w:szCs w:val="18"/>
              </w:rPr>
              <w:t xml:space="preserve">6 April 2016</w:t>
            </w:r>
          </w:p>
        </w:tc>
        <w:tc>
          <w:tcPr>
            <w:tcW w:type="dxa" w:w="2200"/>
            <w:shd w:fill="F2F2F2" w:color="auto" w:val="clear"/>
            <w:tcMar>
              <w:top w:type="dxa" w:w="80"/>
              <w:left w:type="dxa" w:w="100"/>
              <w:bottom w:type="dxa" w:w="80"/>
              <w:right w:type="dxa" w:w="100"/>
            </w:tcMar>
          </w:tcPr>
          <w:p>
            <w:pPr>
              <w:jc w:val="left"/>
            </w:pPr>
            <w:r>
              <w:rPr>
                <w:b w:val="false"/>
                <w:bCs w:val="false"/>
                <w:color w:val="202020"/>
                <w:sz w:val="18"/>
                <w:szCs w:val="18"/>
              </w:rPr>
              <w:t xml:space="preserve">32.5%</w:t>
            </w:r>
          </w:p>
        </w:tc>
        <w:tc>
          <w:tcPr>
            <w:tcW w:type="dxa" w:w="4646"/>
            <w:shd w:fill="F2F2F2" w:color="auto" w:val="clear"/>
            <w:tcMar>
              <w:top w:type="dxa" w:w="80"/>
              <w:left w:type="dxa" w:w="100"/>
              <w:bottom w:type="dxa" w:w="80"/>
              <w:right w:type="dxa" w:w="100"/>
            </w:tcMar>
          </w:tcPr>
          <w:p>
            <w:pPr>
              <w:jc w:val="left"/>
            </w:pPr>
            <w:r>
              <w:rPr>
                <w:b w:val="false"/>
                <w:bCs w:val="false"/>
                <w:color w:val="202020"/>
                <w:sz w:val="18"/>
                <w:szCs w:val="18"/>
              </w:rPr>
              <w:t xml:space="preserve">Matched the then dividend upper rate</w:t>
            </w:r>
          </w:p>
        </w:tc>
      </w:tr>
      <w:tr>
        <w:tc>
          <w:tcPr>
            <w:tcW w:type="dxa" w:w="2900"/>
            <w:tcMar>
              <w:top w:type="dxa" w:w="80"/>
              <w:left w:type="dxa" w:w="100"/>
              <w:bottom w:type="dxa" w:w="80"/>
              <w:right w:type="dxa" w:w="100"/>
            </w:tcMar>
          </w:tcPr>
          <w:p>
            <w:pPr>
              <w:jc w:val="left"/>
            </w:pPr>
            <w:r>
              <w:rPr>
                <w:b w:val="false"/>
                <w:bCs w:val="false"/>
                <w:color w:val="202020"/>
                <w:sz w:val="18"/>
                <w:szCs w:val="18"/>
              </w:rPr>
              <w:t xml:space="preserve">6 April 2022</w:t>
            </w:r>
          </w:p>
        </w:tc>
        <w:tc>
          <w:tcPr>
            <w:tcW w:type="dxa" w:w="2200"/>
            <w:tcMar>
              <w:top w:type="dxa" w:w="80"/>
              <w:left w:type="dxa" w:w="100"/>
              <w:bottom w:type="dxa" w:w="80"/>
              <w:right w:type="dxa" w:w="100"/>
            </w:tcMar>
          </w:tcPr>
          <w:p>
            <w:pPr>
              <w:jc w:val="left"/>
            </w:pPr>
            <w:r>
              <w:rPr>
                <w:b w:val="false"/>
                <w:bCs w:val="false"/>
                <w:color w:val="202020"/>
                <w:sz w:val="18"/>
                <w:szCs w:val="18"/>
              </w:rPr>
              <w:t xml:space="preserve">33.75%</w:t>
            </w:r>
          </w:p>
        </w:tc>
        <w:tc>
          <w:tcPr>
            <w:tcW w:type="dxa" w:w="4646"/>
            <w:tcMar>
              <w:top w:type="dxa" w:w="80"/>
              <w:left w:type="dxa" w:w="100"/>
              <w:bottom w:type="dxa" w:w="80"/>
              <w:right w:type="dxa" w:w="100"/>
            </w:tcMar>
          </w:tcPr>
          <w:p>
            <w:pPr>
              <w:jc w:val="left"/>
            </w:pPr>
            <w:r>
              <w:rPr>
                <w:b w:val="false"/>
                <w:bCs w:val="false"/>
                <w:color w:val="202020"/>
                <w:sz w:val="18"/>
                <w:szCs w:val="18"/>
              </w:rPr>
              <w:t xml:space="preserve">The figure most commonly quoted today, correct only for this band</w:t>
            </w:r>
          </w:p>
        </w:tc>
      </w:tr>
      <w:tr>
        <w:tc>
          <w:tcPr>
            <w:tcW w:type="dxa" w:w="2900"/>
            <w:shd w:fill="F2F2F2" w:color="auto" w:val="clear"/>
            <w:tcMar>
              <w:top w:type="dxa" w:w="80"/>
              <w:left w:type="dxa" w:w="100"/>
              <w:bottom w:type="dxa" w:w="80"/>
              <w:right w:type="dxa" w:w="100"/>
            </w:tcMar>
          </w:tcPr>
          <w:p>
            <w:pPr>
              <w:jc w:val="left"/>
            </w:pPr>
            <w:r>
              <w:rPr>
                <w:b w:val="false"/>
                <w:bCs w:val="false"/>
                <w:color w:val="202020"/>
                <w:sz w:val="18"/>
                <w:szCs w:val="18"/>
              </w:rPr>
              <w:t xml:space="preserve">6 April 2026</w:t>
            </w:r>
          </w:p>
        </w:tc>
        <w:tc>
          <w:tcPr>
            <w:tcW w:type="dxa" w:w="2200"/>
            <w:shd w:fill="F2F2F2" w:color="auto" w:val="clear"/>
            <w:tcMar>
              <w:top w:type="dxa" w:w="80"/>
              <w:left w:type="dxa" w:w="100"/>
              <w:bottom w:type="dxa" w:w="80"/>
              <w:right w:type="dxa" w:w="100"/>
            </w:tcMar>
          </w:tcPr>
          <w:p>
            <w:pPr>
              <w:jc w:val="left"/>
            </w:pPr>
            <w:r>
              <w:rPr>
                <w:b w:val="false"/>
                <w:bCs w:val="false"/>
                <w:color w:val="202020"/>
                <w:sz w:val="18"/>
                <w:szCs w:val="18"/>
              </w:rPr>
              <w:t xml:space="preserve">35.75%</w:t>
            </w:r>
          </w:p>
        </w:tc>
        <w:tc>
          <w:tcPr>
            <w:tcW w:type="dxa" w:w="4646"/>
            <w:shd w:fill="F2F2F2" w:color="auto" w:val="clear"/>
            <w:tcMar>
              <w:top w:type="dxa" w:w="80"/>
              <w:left w:type="dxa" w:w="100"/>
              <w:bottom w:type="dxa" w:w="80"/>
              <w:right w:type="dxa" w:w="100"/>
            </w:tcMar>
          </w:tcPr>
          <w:p>
            <w:pPr>
              <w:jc w:val="left"/>
            </w:pPr>
            <w:r>
              <w:rPr>
                <w:b w:val="false"/>
                <w:bCs w:val="false"/>
                <w:color w:val="202020"/>
                <w:sz w:val="18"/>
                <w:szCs w:val="18"/>
              </w:rPr>
              <w:t xml:space="preserve">Current rate for any new loan from this date, Autumn Budget 2025</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8A1F2D" w:sz="4"/>
              <w:left w:val="single" w:color="8A1F2D" w:sz="4"/>
              <w:bottom w:val="single" w:color="8A1F2D" w:sz="4"/>
              <w:right w:val="single" w:color="8A1F2D" w:sz="4"/>
            </w:tcBorders>
            <w:shd w:fill="FCEEEE" w:color="auto" w:val="clear"/>
            <w:tcMar>
              <w:top w:type="dxa" w:w="140"/>
              <w:left w:type="dxa" w:w="200"/>
              <w:bottom w:type="dxa" w:w="140"/>
              <w:right w:type="dxa" w:w="200"/>
            </w:tcMar>
          </w:tcPr>
          <w:p>
            <w:pPr>
              <w:spacing w:after="60"/>
            </w:pPr>
            <w:r>
              <w:rPr>
                <w:b/>
                <w:bCs/>
                <w:color w:val="8A1F2D"/>
                <w:sz w:val="20"/>
                <w:szCs w:val="20"/>
              </w:rPr>
              <w:t xml:space="preserve">BUILD RULE 3.1.13a</w:t>
            </w:r>
          </w:p>
          <w:p>
            <w:pPr>
              <w:spacing w:after="0"/>
            </w:pPr>
            <w:r>
              <w:rPr>
                <w:color w:val="202020"/>
                <w:sz w:val="20"/>
                <w:szCs w:val="20"/>
              </w:rPr>
              <w:t xml:space="preserve">Model S455_RATE_BANDS as a versioned data table keyed by loan date, exactly as Section 3.1.9a requires for the WDA rate. Look up the rate for EACH individual loan using the date that specific loan was made, a single close company can have multiple outstanding loans made in different tax years and therefore taxed at different s455 rates in the same CT600A. Never store or apply one rate per company or per accounting period.</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shd w:fill="1F2937" w:color="auto" w:val="clear"/>
            <w:tcMar>
              <w:top w:type="dxa" w:w="160"/>
              <w:left w:type="dxa" w:w="200"/>
              <w:bottom w:type="dxa" w:w="160"/>
              <w:right w:type="dxa" w:w="200"/>
            </w:tcMar>
          </w:tcPr>
          <w:p>
            <w:pPr>
              <w:spacing w:after="40"/>
            </w:pPr>
            <w:r>
              <w:rPr>
                <w:rFonts w:ascii="Consolas" w:cs="Consolas" w:eastAsia="Consolas" w:hAnsi="Consolas"/>
                <w:color w:val="E5E7EB"/>
                <w:sz w:val="19"/>
                <w:szCs w:val="19"/>
              </w:rPr>
              <w:t xml:space="preserve">Example A: director borrows £15,000 on 1 June 2026. AP ends 31 Dec 2026, loan still outstanding.</w:t>
            </w:r>
          </w:p>
          <w:p>
            <w:pPr>
              <w:spacing w:after="40"/>
            </w:pPr>
            <w:r>
              <w:rPr>
                <w:rFonts w:ascii="Consolas" w:cs="Consolas" w:eastAsia="Consolas" w:hAnsi="Consolas"/>
                <w:color w:val="E5E7EB"/>
                <w:sz w:val="19"/>
                <w:szCs w:val="19"/>
              </w:rPr>
              <w:t xml:space="preserve">Loan date (1 Jun 2026) falls in the 6 April 2026 band, so the rate is 35.75%, not 33.75%.</w:t>
            </w:r>
          </w:p>
          <w:p>
            <w:pPr>
              <w:spacing w:after="40"/>
            </w:pPr>
            <w:r>
              <w:rPr>
                <w:rFonts w:ascii="Consolas" w:cs="Consolas" w:eastAsia="Consolas" w:hAnsi="Consolas"/>
                <w:color w:val="E5E7EB"/>
                <w:sz w:val="19"/>
                <w:szCs w:val="19"/>
              </w:rPr>
              <w:t xml:space="preserve"/>
            </w:r>
          </w:p>
          <w:p>
            <w:pPr>
              <w:spacing w:after="40"/>
            </w:pPr>
            <w:r>
              <w:rPr>
                <w:rFonts w:ascii="Consolas" w:cs="Consolas" w:eastAsia="Consolas" w:hAnsi="Consolas"/>
                <w:color w:val="E5E7EB"/>
                <w:sz w:val="19"/>
                <w:szCs w:val="19"/>
              </w:rPr>
              <w:t xml:space="preserve">s455 tax due       = £15,000 x 35.75% = £5,362.50</w:t>
            </w:r>
          </w:p>
          <w:p>
            <w:pPr>
              <w:spacing w:after="40"/>
            </w:pPr>
            <w:r>
              <w:rPr>
                <w:rFonts w:ascii="Consolas" w:cs="Consolas" w:eastAsia="Consolas" w:hAnsi="Consolas"/>
                <w:color w:val="E5E7EB"/>
                <w:sz w:val="19"/>
                <w:szCs w:val="19"/>
              </w:rPr>
              <w:t xml:space="preserve">Payment deadline    = 9 months + 1 day after 31 Dec 2026 = 1 October 2027</w:t>
            </w:r>
          </w:p>
          <w:p>
            <w:pPr>
              <w:spacing w:after="40"/>
            </w:pPr>
            <w:r>
              <w:rPr>
                <w:rFonts w:ascii="Consolas" w:cs="Consolas" w:eastAsia="Consolas" w:hAnsi="Consolas"/>
                <w:color w:val="E5E7EB"/>
                <w:sz w:val="19"/>
                <w:szCs w:val="19"/>
              </w:rPr>
              <w:t xml:space="preserve">Reported via         = CT600A supplementary form</w:t>
            </w:r>
          </w:p>
          <w:p>
            <w:pPr>
              <w:spacing w:after="40"/>
            </w:pPr>
            <w:r>
              <w:rPr>
                <w:rFonts w:ascii="Consolas" w:cs="Consolas" w:eastAsia="Consolas" w:hAnsi="Consolas"/>
                <w:color w:val="E5E7EB"/>
                <w:sz w:val="19"/>
                <w:szCs w:val="19"/>
              </w:rPr>
              <w:t xml:space="preserve"/>
            </w:r>
          </w:p>
          <w:p>
            <w:pPr>
              <w:spacing w:after="40"/>
            </w:pPr>
            <w:r>
              <w:rPr>
                <w:rFonts w:ascii="Consolas" w:cs="Consolas" w:eastAsia="Consolas" w:hAnsi="Consolas"/>
                <w:color w:val="E5E7EB"/>
                <w:sz w:val="19"/>
                <w:szCs w:val="19"/>
              </w:rPr>
              <w:t xml:space="preserve">Director later repays the £15,000 in full in March 2028 (AP ending 31 Dec 2028):</w:t>
            </w:r>
          </w:p>
          <w:p>
            <w:pPr>
              <w:spacing w:after="40"/>
            </w:pPr>
            <w:r>
              <w:rPr>
                <w:rFonts w:ascii="Consolas" w:cs="Consolas" w:eastAsia="Consolas" w:hAnsi="Consolas"/>
                <w:color w:val="E5E7EB"/>
                <w:sz w:val="19"/>
                <w:szCs w:val="19"/>
              </w:rPr>
              <w:t xml:space="preserve">  Repayment is NOT within 9 months of the original AP end, so relief is deferred, not immediate.</w:t>
            </w:r>
          </w:p>
          <w:p>
            <w:pPr>
              <w:spacing w:after="40"/>
            </w:pPr>
            <w:r>
              <w:rPr>
                <w:rFonts w:ascii="Consolas" w:cs="Consolas" w:eastAsia="Consolas" w:hAnsi="Consolas"/>
                <w:color w:val="E5E7EB"/>
                <w:sz w:val="19"/>
                <w:szCs w:val="19"/>
              </w:rPr>
              <w:t xml:space="preserve">  Reclaim becomes due 9 months + 1 day after the AP OF REPAYMENT ends (31 Dec 2028)</w:t>
            </w:r>
          </w:p>
          <w:p>
            <w:pPr>
              <w:spacing w:after="40"/>
            </w:pPr>
            <w:r>
              <w:rPr>
                <w:rFonts w:ascii="Consolas" w:cs="Consolas" w:eastAsia="Consolas" w:hAnsi="Consolas"/>
                <w:color w:val="E5E7EB"/>
                <w:sz w:val="19"/>
                <w:szCs w:val="19"/>
              </w:rPr>
              <w:t xml:space="preserve">  Earliest HMRC will repay the £5,362.50 = 1 October 2029</w:t>
            </w:r>
          </w:p>
          <w:p>
            <w:pPr>
              <w:spacing w:after="40"/>
            </w:pPr>
            <w:r>
              <w:rPr>
                <w:rFonts w:ascii="Consolas" w:cs="Consolas" w:eastAsia="Consolas" w:hAnsi="Consolas"/>
                <w:color w:val="E5E7EB"/>
                <w:sz w:val="19"/>
                <w:szCs w:val="19"/>
              </w:rPr>
              <w:t xml:space="preserve">  Claimed via CT600A (repayment within 2 years of original AP) or form L2P if later</w:t>
            </w:r>
          </w:p>
          <w:p>
            <w:pPr>
              <w:spacing w:after="40"/>
            </w:pPr>
            <w:r>
              <w:rPr>
                <w:rFonts w:ascii="Consolas" w:cs="Consolas" w:eastAsia="Consolas" w:hAnsi="Consolas"/>
                <w:color w:val="E5E7EB"/>
                <w:sz w:val="19"/>
                <w:szCs w:val="19"/>
              </w:rPr>
              <w:t xml:space="preserve"/>
            </w:r>
          </w:p>
          <w:p>
            <w:pPr>
              <w:spacing w:after="40"/>
            </w:pPr>
            <w:r>
              <w:rPr>
                <w:rFonts w:ascii="Consolas" w:cs="Consolas" w:eastAsia="Consolas" w:hAnsi="Consolas"/>
                <w:color w:val="E5E7EB"/>
                <w:sz w:val="19"/>
                <w:szCs w:val="19"/>
              </w:rPr>
              <w:t xml:space="preserve">Example B, why per-loan dating matters: same company, same AP, two separate loans.</w:t>
            </w:r>
          </w:p>
          <w:p>
            <w:pPr>
              <w:spacing w:after="40"/>
            </w:pPr>
            <w:r>
              <w:rPr>
                <w:rFonts w:ascii="Consolas" w:cs="Consolas" w:eastAsia="Consolas" w:hAnsi="Consolas"/>
                <w:color w:val="E5E7EB"/>
                <w:sz w:val="19"/>
                <w:szCs w:val="19"/>
              </w:rPr>
              <w:t xml:space="preserve">  Loan 1: £10,000 made 31 March 2026 (just inside the 33.75% band) -&gt; tax = £3,375.00</w:t>
            </w:r>
          </w:p>
          <w:p>
            <w:pPr>
              <w:spacing w:after="40"/>
            </w:pPr>
            <w:r>
              <w:rPr>
                <w:rFonts w:ascii="Consolas" w:cs="Consolas" w:eastAsia="Consolas" w:hAnsi="Consolas"/>
                <w:color w:val="E5E7EB"/>
                <w:sz w:val="19"/>
                <w:szCs w:val="19"/>
              </w:rPr>
              <w:t xml:space="preserve">  Loan 2: £10,000 made 6 April 2026  (just inside the 35.75% band) -&gt; tax = £3,575.00</w:t>
            </w:r>
          </w:p>
          <w:p>
            <w:pPr>
              <w:spacing w:after="40"/>
            </w:pPr>
            <w:r>
              <w:rPr>
                <w:rFonts w:ascii="Consolas" w:cs="Consolas" w:eastAsia="Consolas" w:hAnsi="Consolas"/>
                <w:color w:val="E5E7EB"/>
                <w:sz w:val="19"/>
                <w:szCs w:val="19"/>
              </w:rPr>
              <w:t xml:space="preserve">  TOTAL s455 ON THE CT600A = £3,375.00 + £3,575.00 = £6,950.00, two lines, two rates,</w:t>
            </w:r>
          </w:p>
          <w:p>
            <w:pPr>
              <w:spacing w:after="40"/>
            </w:pPr>
            <w:r>
              <w:rPr>
                <w:rFonts w:ascii="Consolas" w:cs="Consolas" w:eastAsia="Consolas" w:hAnsi="Consolas"/>
                <w:color w:val="E5E7EB"/>
                <w:sz w:val="19"/>
                <w:szCs w:val="19"/>
              </w:rPr>
              <w:t xml:space="preserve">  five days apart. A single company-level rate field cannot represent this correctly.</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8A1F2D" w:sz="4"/>
              <w:left w:val="single" w:color="8A1F2D" w:sz="4"/>
              <w:bottom w:val="single" w:color="8A1F2D" w:sz="4"/>
              <w:right w:val="single" w:color="8A1F2D" w:sz="4"/>
            </w:tcBorders>
            <w:shd w:fill="FCEEEE" w:color="auto" w:val="clear"/>
            <w:tcMar>
              <w:top w:type="dxa" w:w="140"/>
              <w:left w:type="dxa" w:w="200"/>
              <w:bottom w:type="dxa" w:w="140"/>
              <w:right w:type="dxa" w:w="200"/>
            </w:tcMar>
          </w:tcPr>
          <w:p>
            <w:pPr>
              <w:spacing w:after="60"/>
            </w:pPr>
            <w:r>
              <w:rPr>
                <w:b/>
                <w:bCs/>
                <w:color w:val="8A1F2D"/>
                <w:sz w:val="20"/>
                <w:szCs w:val="20"/>
              </w:rPr>
              <w:t xml:space="preserve">BUILD RULE 3.1.13b</w:t>
            </w:r>
          </w:p>
          <w:p>
            <w:pPr>
              <w:spacing w:after="0"/>
            </w:pPr>
            <w:r>
              <w:rPr>
                <w:color w:val="202020"/>
                <w:sz w:val="20"/>
                <w:szCs w:val="20"/>
              </w:rPr>
              <w:t xml:space="preserve">Never tell the user the s455 tax is "recoverable" the moment the loan is repaid. The reclaim is only payable from 9 months and 1 day after the end of the accounting period IN WHICH THE REPAYMENT HAPPENED, which is routinely 18-24 months after the actual repayment date. Model this as two independent dated events, not one. This, together with Rule 3.1.13a, is the permanent regression test pair for the s455 engine: Example A must always produce £5,362.50, and Example B must always produce £3,375.00 and £3,575.00 as two separate lines totalling £6,950.00.</w:t>
            </w:r>
          </w:p>
        </w:tc>
      </w:tr>
    </w:tbl>
    <w:p>
      <w:pPr>
        <w:pStyle w:val="Heading2"/>
        <w:spacing w:after="140" w:before="300"/>
      </w:pPr>
      <w:r>
        <w:t xml:space="preserve">3.3 VAT</w:t>
      </w:r>
    </w:p>
    <w:p>
      <w:pPr>
        <w:pStyle w:val="Heading3"/>
        <w:spacing w:after="100" w:before="200"/>
      </w:pPr>
      <w:r>
        <w:t xml:space="preserve">3.3.1 Rates, current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6346"/>
      </w:tblGrid>
      <w:tr>
        <w:trPr>
          <w:tblHeader/>
        </w:trPr>
        <w:tc>
          <w:tcPr>
            <w:tcW w:type="dxa" w:w="1900"/>
            <w:shd w:fill="1F3A5F" w:color="auto" w:val="clear"/>
            <w:tcMar>
              <w:top w:type="dxa" w:w="80"/>
              <w:left w:type="dxa" w:w="100"/>
              <w:bottom w:type="dxa" w:w="80"/>
              <w:right w:type="dxa" w:w="100"/>
            </w:tcMar>
          </w:tcPr>
          <w:p>
            <w:pPr>
              <w:jc w:val="left"/>
            </w:pPr>
            <w:r>
              <w:rPr>
                <w:b/>
                <w:bCs/>
                <w:color w:val="FFFFFF"/>
                <w:sz w:val="18"/>
                <w:szCs w:val="18"/>
              </w:rPr>
              <w:t xml:space="preserve">Rate</w:t>
            </w:r>
          </w:p>
        </w:tc>
        <w:tc>
          <w:tcPr>
            <w:tcW w:type="dxa" w:w="1500"/>
            <w:shd w:fill="1F3A5F" w:color="auto" w:val="clear"/>
            <w:tcMar>
              <w:top w:type="dxa" w:w="80"/>
              <w:left w:type="dxa" w:w="100"/>
              <w:bottom w:type="dxa" w:w="80"/>
              <w:right w:type="dxa" w:w="100"/>
            </w:tcMar>
          </w:tcPr>
          <w:p>
            <w:pPr>
              <w:jc w:val="left"/>
            </w:pPr>
            <w:r>
              <w:rPr>
                <w:b/>
                <w:bCs/>
                <w:color w:val="FFFFFF"/>
                <w:sz w:val="18"/>
                <w:szCs w:val="18"/>
              </w:rPr>
              <w:t xml:space="preserve">%</w:t>
            </w:r>
          </w:p>
        </w:tc>
        <w:tc>
          <w:tcPr>
            <w:tcW w:type="dxa" w:w="6346"/>
            <w:shd w:fill="1F3A5F" w:color="auto" w:val="clear"/>
            <w:tcMar>
              <w:top w:type="dxa" w:w="80"/>
              <w:left w:type="dxa" w:w="100"/>
              <w:bottom w:type="dxa" w:w="80"/>
              <w:right w:type="dxa" w:w="100"/>
            </w:tcMar>
          </w:tcPr>
          <w:p>
            <w:pPr>
              <w:jc w:val="left"/>
            </w:pPr>
            <w:r>
              <w:rPr>
                <w:b/>
                <w:bCs/>
                <w:color w:val="FFFFFF"/>
                <w:sz w:val="18"/>
                <w:szCs w:val="18"/>
              </w:rPr>
              <w:t xml:space="preserve">Typical examples</w:t>
            </w:r>
          </w:p>
        </w:tc>
      </w:tr>
      <w:tr>
        <w:tc>
          <w:tcPr>
            <w:tcW w:type="dxa" w:w="1900"/>
            <w:tcMar>
              <w:top w:type="dxa" w:w="80"/>
              <w:left w:type="dxa" w:w="100"/>
              <w:bottom w:type="dxa" w:w="80"/>
              <w:right w:type="dxa" w:w="100"/>
            </w:tcMar>
          </w:tcPr>
          <w:p>
            <w:pPr>
              <w:jc w:val="left"/>
            </w:pPr>
            <w:r>
              <w:rPr>
                <w:b w:val="false"/>
                <w:bCs w:val="false"/>
                <w:color w:val="202020"/>
                <w:sz w:val="18"/>
                <w:szCs w:val="18"/>
              </w:rPr>
              <w:t xml:space="preserve">Standard</w:t>
            </w:r>
          </w:p>
        </w:tc>
        <w:tc>
          <w:tcPr>
            <w:tcW w:type="dxa" w:w="1500"/>
            <w:tcMar>
              <w:top w:type="dxa" w:w="80"/>
              <w:left w:type="dxa" w:w="100"/>
              <w:bottom w:type="dxa" w:w="80"/>
              <w:right w:type="dxa" w:w="100"/>
            </w:tcMar>
          </w:tcPr>
          <w:p>
            <w:pPr>
              <w:jc w:val="left"/>
            </w:pPr>
            <w:r>
              <w:rPr>
                <w:b w:val="false"/>
                <w:bCs w:val="false"/>
                <w:color w:val="202020"/>
                <w:sz w:val="18"/>
                <w:szCs w:val="18"/>
              </w:rPr>
              <w:t xml:space="preserve">20%</w:t>
            </w:r>
          </w:p>
        </w:tc>
        <w:tc>
          <w:tcPr>
            <w:tcW w:type="dxa" w:w="6346"/>
            <w:tcMar>
              <w:top w:type="dxa" w:w="80"/>
              <w:left w:type="dxa" w:w="100"/>
              <w:bottom w:type="dxa" w:w="80"/>
              <w:right w:type="dxa" w:w="100"/>
            </w:tcMar>
          </w:tcPr>
          <w:p>
            <w:pPr>
              <w:jc w:val="left"/>
            </w:pPr>
            <w:r>
              <w:rPr>
                <w:b w:val="false"/>
                <w:bCs w:val="false"/>
                <w:color w:val="202020"/>
                <w:sz w:val="18"/>
                <w:szCs w:val="18"/>
              </w:rPr>
              <w:t xml:space="preserve">Most goods and services, the default rate unless a specific exception applies</w:t>
            </w:r>
          </w:p>
        </w:tc>
      </w:tr>
      <w:tr>
        <w:tc>
          <w:tcPr>
            <w:tcW w:type="dxa" w:w="1900"/>
            <w:shd w:fill="F2F2F2" w:color="auto" w:val="clear"/>
            <w:tcMar>
              <w:top w:type="dxa" w:w="80"/>
              <w:left w:type="dxa" w:w="100"/>
              <w:bottom w:type="dxa" w:w="80"/>
              <w:right w:type="dxa" w:w="100"/>
            </w:tcMar>
          </w:tcPr>
          <w:p>
            <w:pPr>
              <w:jc w:val="left"/>
            </w:pPr>
            <w:r>
              <w:rPr>
                <w:b w:val="false"/>
                <w:bCs w:val="false"/>
                <w:color w:val="202020"/>
                <w:sz w:val="18"/>
                <w:szCs w:val="18"/>
              </w:rPr>
              <w:t xml:space="preserve">Reduced</w:t>
            </w:r>
          </w:p>
        </w:tc>
        <w:tc>
          <w:tcPr>
            <w:tcW w:type="dxa" w:w="1500"/>
            <w:shd w:fill="F2F2F2" w:color="auto" w:val="clear"/>
            <w:tcMar>
              <w:top w:type="dxa" w:w="80"/>
              <w:left w:type="dxa" w:w="100"/>
              <w:bottom w:type="dxa" w:w="80"/>
              <w:right w:type="dxa" w:w="100"/>
            </w:tcMar>
          </w:tcPr>
          <w:p>
            <w:pPr>
              <w:jc w:val="left"/>
            </w:pPr>
            <w:r>
              <w:rPr>
                <w:b w:val="false"/>
                <w:bCs w:val="false"/>
                <w:color w:val="202020"/>
                <w:sz w:val="18"/>
                <w:szCs w:val="18"/>
              </w:rPr>
              <w:t xml:space="preserve">5%</w:t>
            </w:r>
          </w:p>
        </w:tc>
        <w:tc>
          <w:tcPr>
            <w:tcW w:type="dxa" w:w="6346"/>
            <w:shd w:fill="F2F2F2" w:color="auto" w:val="clear"/>
            <w:tcMar>
              <w:top w:type="dxa" w:w="80"/>
              <w:left w:type="dxa" w:w="100"/>
              <w:bottom w:type="dxa" w:w="80"/>
              <w:right w:type="dxa" w:w="100"/>
            </w:tcMar>
          </w:tcPr>
          <w:p>
            <w:pPr>
              <w:jc w:val="left"/>
            </w:pPr>
            <w:r>
              <w:rPr>
                <w:b w:val="false"/>
                <w:bCs w:val="false"/>
                <w:color w:val="202020"/>
                <w:sz w:val="18"/>
                <w:szCs w:val="18"/>
              </w:rPr>
              <w:t xml:space="preserve">Domestic gas and electricity, children's car seats, some mobility aids</w:t>
            </w:r>
          </w:p>
        </w:tc>
      </w:tr>
      <w:tr>
        <w:tc>
          <w:tcPr>
            <w:tcW w:type="dxa" w:w="1900"/>
            <w:tcMar>
              <w:top w:type="dxa" w:w="80"/>
              <w:left w:type="dxa" w:w="100"/>
              <w:bottom w:type="dxa" w:w="80"/>
              <w:right w:type="dxa" w:w="100"/>
            </w:tcMar>
          </w:tcPr>
          <w:p>
            <w:pPr>
              <w:jc w:val="left"/>
            </w:pPr>
            <w:r>
              <w:rPr>
                <w:b w:val="false"/>
                <w:bCs w:val="false"/>
                <w:color w:val="202020"/>
                <w:sz w:val="18"/>
                <w:szCs w:val="18"/>
              </w:rPr>
              <w:t xml:space="preserve">Zero</w:t>
            </w:r>
          </w:p>
        </w:tc>
        <w:tc>
          <w:tcPr>
            <w:tcW w:type="dxa" w:w="1500"/>
            <w:tcMar>
              <w:top w:type="dxa" w:w="80"/>
              <w:left w:type="dxa" w:w="100"/>
              <w:bottom w:type="dxa" w:w="80"/>
              <w:right w:type="dxa" w:w="100"/>
            </w:tcMar>
          </w:tcPr>
          <w:p>
            <w:pPr>
              <w:jc w:val="left"/>
            </w:pPr>
            <w:r>
              <w:rPr>
                <w:b w:val="false"/>
                <w:bCs w:val="false"/>
                <w:color w:val="202020"/>
                <w:sz w:val="18"/>
                <w:szCs w:val="18"/>
              </w:rPr>
              <w:t xml:space="preserve">0%</w:t>
            </w:r>
          </w:p>
        </w:tc>
        <w:tc>
          <w:tcPr>
            <w:tcW w:type="dxa" w:w="6346"/>
            <w:tcMar>
              <w:top w:type="dxa" w:w="80"/>
              <w:left w:type="dxa" w:w="100"/>
              <w:bottom w:type="dxa" w:w="80"/>
              <w:right w:type="dxa" w:w="100"/>
            </w:tcMar>
          </w:tcPr>
          <w:p>
            <w:pPr>
              <w:jc w:val="left"/>
            </w:pPr>
            <w:r>
              <w:rPr>
                <w:b w:val="false"/>
                <w:bCs w:val="false"/>
                <w:color w:val="202020"/>
                <w:sz w:val="18"/>
                <w:szCs w:val="18"/>
              </w:rPr>
              <w:t xml:space="preserve">Most food, children's clothes and shoes, books and newspapers. Still a taxable supply, must appear on the VAT return</w:t>
            </w:r>
          </w:p>
        </w:tc>
      </w:tr>
      <w:tr>
        <w:tc>
          <w:tcPr>
            <w:tcW w:type="dxa" w:w="1900"/>
            <w:shd w:fill="F2F2F2" w:color="auto" w:val="clear"/>
            <w:tcMar>
              <w:top w:type="dxa" w:w="80"/>
              <w:left w:type="dxa" w:w="100"/>
              <w:bottom w:type="dxa" w:w="80"/>
              <w:right w:type="dxa" w:w="100"/>
            </w:tcMar>
          </w:tcPr>
          <w:p>
            <w:pPr>
              <w:jc w:val="left"/>
            </w:pPr>
            <w:r>
              <w:rPr>
                <w:b w:val="false"/>
                <w:bCs w:val="false"/>
                <w:color w:val="202020"/>
                <w:sz w:val="18"/>
                <w:szCs w:val="18"/>
              </w:rPr>
              <w:t xml:space="preserve">Exempt</w:t>
            </w:r>
          </w:p>
        </w:tc>
        <w:tc>
          <w:tcPr>
            <w:tcW w:type="dxa" w:w="1500"/>
            <w:shd w:fill="F2F2F2" w:color="auto" w:val="clear"/>
            <w:tcMar>
              <w:top w:type="dxa" w:w="80"/>
              <w:left w:type="dxa" w:w="100"/>
              <w:bottom w:type="dxa" w:w="80"/>
              <w:right w:type="dxa" w:w="100"/>
            </w:tcMar>
          </w:tcPr>
          <w:p>
            <w:pPr>
              <w:jc w:val="left"/>
            </w:pPr>
            <w:r>
              <w:rPr>
                <w:b w:val="false"/>
                <w:bCs w:val="false"/>
                <w:color w:val="202020"/>
                <w:sz w:val="18"/>
                <w:szCs w:val="18"/>
              </w:rPr>
              <w:t xml:space="preserve">n/a, outside VAT entirely</w:t>
            </w:r>
          </w:p>
        </w:tc>
        <w:tc>
          <w:tcPr>
            <w:tcW w:type="dxa" w:w="6346"/>
            <w:shd w:fill="F2F2F2" w:color="auto" w:val="clear"/>
            <w:tcMar>
              <w:top w:type="dxa" w:w="80"/>
              <w:left w:type="dxa" w:w="100"/>
              <w:bottom w:type="dxa" w:w="80"/>
              <w:right w:type="dxa" w:w="100"/>
            </w:tcMar>
          </w:tcPr>
          <w:p>
            <w:pPr>
              <w:jc w:val="left"/>
            </w:pPr>
            <w:r>
              <w:rPr>
                <w:b w:val="false"/>
                <w:bCs w:val="false"/>
                <w:color w:val="202020"/>
                <w:sz w:val="18"/>
                <w:szCs w:val="18"/>
              </w:rPr>
              <w:t xml:space="preserve">Postage stamps, most financial and property transactions. Different from zero-rated, excluded from VAT-return boxes rather than included at 0%</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8A1F2D" w:sz="4"/>
              <w:left w:val="single" w:color="8A1F2D" w:sz="4"/>
              <w:bottom w:val="single" w:color="8A1F2D" w:sz="4"/>
              <w:right w:val="single" w:color="8A1F2D" w:sz="4"/>
            </w:tcBorders>
            <w:shd w:fill="FCEEEE" w:color="auto" w:val="clear"/>
            <w:tcMar>
              <w:top w:type="dxa" w:w="140"/>
              <w:left w:type="dxa" w:w="200"/>
              <w:bottom w:type="dxa" w:w="140"/>
              <w:right w:type="dxa" w:w="200"/>
            </w:tcMar>
          </w:tcPr>
          <w:p>
            <w:pPr>
              <w:spacing w:after="60"/>
            </w:pPr>
            <w:r>
              <w:rPr>
                <w:b/>
                <w:bCs/>
                <w:color w:val="8A1F2D"/>
                <w:sz w:val="20"/>
                <w:szCs w:val="20"/>
              </w:rPr>
              <w:t xml:space="preserve">BUILD RULE 3.3.1</w:t>
            </w:r>
          </w:p>
          <w:p>
            <w:pPr>
              <w:spacing w:after="0"/>
            </w:pPr>
            <w:r>
              <w:rPr>
                <w:color w:val="202020"/>
                <w:sz w:val="20"/>
                <w:szCs w:val="20"/>
              </w:rPr>
              <w:t xml:space="preserve">Zero-rated and exempt are not the same thing in the data model. Zero-rated supplies are taxable supplies (included in turnover figures on the VAT return) taxed at 0%; exempt supplies fall outside the VAT system and are excluded from those figures. Conflating the two produces an incorrect VAT return.</w:t>
            </w:r>
          </w:p>
        </w:tc>
      </w:tr>
    </w:tbl>
    <w:p>
      <w:pPr>
        <w:pStyle w:val="Heading3"/>
        <w:spacing w:after="100" w:before="200"/>
      </w:pPr>
      <w:r>
        <w:t xml:space="preserve">3.3.2 Registration and deregistration thresholds</w:t>
      </w:r>
    </w:p>
    <w:p>
      <w:pPr>
        <w:pStyle w:val="ListParagraph"/>
        <w:numPr>
          <w:ilvl w:val="0"/>
          <w:numId w:val="3"/>
        </w:numPr>
        <w:spacing w:after="90" w:line="290"/>
      </w:pPr>
      <w:r>
        <w:rPr>
          <w:color w:val="202020"/>
          <w:sz w:val="21"/>
          <w:szCs w:val="21"/>
        </w:rPr>
        <w:t xml:space="preserve">Registration is required once taxable turnover for the previous rolling 12 months exceeds £90,000, or is expected to exceed £90,000 in the next 30 days alone. This is a rolling 12-month test, not tied to a fixed tax year, and the business has 30 days to notify HMRC once the threshold is crossed.</w:t>
      </w:r>
    </w:p>
    <w:p>
      <w:pPr>
        <w:pStyle w:val="ListParagraph"/>
        <w:numPr>
          <w:ilvl w:val="0"/>
          <w:numId w:val="3"/>
        </w:numPr>
        <w:spacing w:after="90" w:line="290"/>
      </w:pPr>
      <w:r>
        <w:rPr>
          <w:color w:val="202020"/>
          <w:sz w:val="21"/>
          <w:szCs w:val="21"/>
        </w:rPr>
        <w:t xml:space="preserve">Deregistration threshold: £88,000, a separate, lower figure. A business may voluntarily deregister once expected taxable turnover falls below this.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8A1F2D" w:sz="4"/>
              <w:left w:val="single" w:color="8A1F2D" w:sz="4"/>
              <w:bottom w:val="single" w:color="8A1F2D" w:sz="4"/>
              <w:right w:val="single" w:color="8A1F2D" w:sz="4"/>
            </w:tcBorders>
            <w:shd w:fill="FCEEEE" w:color="auto" w:val="clear"/>
            <w:tcMar>
              <w:top w:type="dxa" w:w="140"/>
              <w:left w:type="dxa" w:w="200"/>
              <w:bottom w:type="dxa" w:w="140"/>
              <w:right w:type="dxa" w:w="200"/>
            </w:tcMar>
          </w:tcPr>
          <w:p>
            <w:pPr>
              <w:spacing w:after="60"/>
            </w:pPr>
            <w:r>
              <w:rPr>
                <w:b/>
                <w:bCs/>
                <w:color w:val="8A1F2D"/>
                <w:sz w:val="20"/>
                <w:szCs w:val="20"/>
              </w:rPr>
              <w:t xml:space="preserve">BUILD RULE 3.3.2</w:t>
            </w:r>
          </w:p>
          <w:p>
            <w:pPr>
              <w:spacing w:after="0"/>
            </w:pPr>
            <w:r>
              <w:rPr>
                <w:color w:val="202020"/>
                <w:sz w:val="20"/>
                <w:szCs w:val="20"/>
              </w:rPr>
              <w:t xml:space="preserve">The registration check cannot be a simple "turnover this tax year" field. It requires continuous rolling 12-month turnover tracking plus a forward-looking 30-day test, both need to trigger a registration prompt to the user.</w:t>
            </w:r>
          </w:p>
        </w:tc>
      </w:tr>
    </w:tbl>
    <w:p>
      <w:pPr>
        <w:pStyle w:val="Heading3"/>
        <w:spacing w:after="100" w:before="200"/>
      </w:pPr>
      <w:r>
        <w:t xml:space="preserve">3.3.3 Making Tax Digital for VAT: the constraint that shapes the entire VAT module's architecture</w:t>
      </w:r>
    </w:p>
    <w:p>
      <w:pPr>
        <w:spacing w:after="150" w:line="300"/>
      </w:pPr>
      <w:r>
        <w:rPr>
          <w:color w:val="202020"/>
          <w:sz w:val="21"/>
          <w:szCs w:val="21"/>
        </w:rPr>
        <w:t xml:space="preserve">MTD VAT is mandatory for every VAT-registered business regardless of size, the previous turnover-based exemption has been removed. Two requirements matter for how the software is built:</w:t>
      </w:r>
    </w:p>
    <w:p>
      <w:pPr>
        <w:pStyle w:val="ListParagraph"/>
        <w:numPr>
          <w:ilvl w:val="0"/>
          <w:numId w:val="3"/>
        </w:numPr>
        <w:spacing w:after="90" w:line="290"/>
      </w:pPr>
      <w:r>
        <w:rPr>
          <w:color w:val="202020"/>
          <w:sz w:val="21"/>
          <w:szCs w:val="21"/>
        </w:rPr>
        <w:t xml:space="preserve">Digital records: specific data (business details, VAT scheme used, and for every supply made or received: time of supply, net value, VAT rate) must be recorded and preserved digitally in software, not on paper.</w:t>
      </w:r>
    </w:p>
    <w:p>
      <w:pPr>
        <w:pStyle w:val="ListParagraph"/>
        <w:numPr>
          <w:ilvl w:val="0"/>
          <w:numId w:val="3"/>
        </w:numPr>
        <w:spacing w:after="90" w:line="290"/>
      </w:pPr>
      <w:r>
        <w:rPr>
          <w:color w:val="202020"/>
          <w:sz w:val="21"/>
          <w:szCs w:val="21"/>
        </w:rPr>
        <w:t xml:space="preserve">Digital links: once a figure first exists in digital form, every subsequent transfer of that figure between programs, right up to submission, must happen electronically with no manual re-entry.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8A1F2D" w:sz="4"/>
              <w:left w:val="single" w:color="8A1F2D" w:sz="4"/>
              <w:bottom w:val="single" w:color="8A1F2D" w:sz="4"/>
              <w:right w:val="single" w:color="8A1F2D" w:sz="4"/>
            </w:tcBorders>
            <w:shd w:fill="FCEEEE" w:color="auto" w:val="clear"/>
            <w:tcMar>
              <w:top w:type="dxa" w:w="140"/>
              <w:left w:type="dxa" w:w="200"/>
              <w:bottom w:type="dxa" w:w="140"/>
              <w:right w:type="dxa" w:w="200"/>
            </w:tcMar>
          </w:tcPr>
          <w:p>
            <w:pPr>
              <w:spacing w:after="60"/>
            </w:pPr>
            <w:r>
              <w:rPr>
                <w:b/>
                <w:bCs/>
                <w:color w:val="8A1F2D"/>
                <w:sz w:val="20"/>
                <w:szCs w:val="20"/>
              </w:rPr>
              <w:t xml:space="preserve">BUILD RULE 3.3.3, the single most important VAT constraint</w:t>
            </w:r>
          </w:p>
          <w:p>
            <w:pPr>
              <w:spacing w:after="0"/>
            </w:pPr>
            <w:r>
              <w:rPr>
                <w:color w:val="202020"/>
                <w:sz w:val="20"/>
                <w:szCs w:val="20"/>
              </w:rPr>
              <w:t xml:space="preserve">The platform must never present a plain text box where a user re-types a VAT total they read off a spreadsheet or another piece of software. Once a number exists digitally anywhere in the user's records, it must reach the platform via file import (CSV/XML), API connection, or a formula-linked spreadsheet cell, never by keystroke. Cut-and-paste is explicitly non-compliant under HMRC's own guidance. This has a direct product implication: manual data entry is only legitimate for a business's very first entry of a transaction that has never existed digitally anywhere else, not for transferring figures that already exist in a spreadsheet or accounting system.</w:t>
            </w:r>
          </w:p>
        </w:tc>
      </w:tr>
    </w:tbl>
    <w:p>
      <w:pPr>
        <w:pStyle w:val="Heading3"/>
        <w:spacing w:after="100" w:before="200"/>
      </w:pPr>
      <w:r>
        <w:t xml:space="preserve">3.3.4 Filing periods and deadlines</w:t>
      </w:r>
    </w:p>
    <w:p>
      <w:pPr>
        <w:pStyle w:val="ListParagraph"/>
        <w:numPr>
          <w:ilvl w:val="0"/>
          <w:numId w:val="3"/>
        </w:numPr>
        <w:spacing w:after="90" w:line="290"/>
      </w:pPr>
      <w:r>
        <w:rPr>
          <w:color w:val="202020"/>
          <w:sz w:val="21"/>
          <w:szCs w:val="21"/>
        </w:rPr>
        <w:t xml:space="preserve">Standard VAT period: quarterly.</w:t>
      </w:r>
    </w:p>
    <w:p>
      <w:pPr>
        <w:pStyle w:val="ListParagraph"/>
        <w:numPr>
          <w:ilvl w:val="0"/>
          <w:numId w:val="3"/>
        </w:numPr>
        <w:spacing w:after="90" w:line="290"/>
      </w:pPr>
      <w:r>
        <w:rPr>
          <w:color w:val="202020"/>
          <w:sz w:val="21"/>
          <w:szCs w:val="21"/>
        </w:rPr>
        <w:t xml:space="preserve">Deadline for both filing and payment: 1 calendar month and 7 days after the end of the VAT period. Payment must have cleared into HMRC's account by this date, not merely been initiated, build the reminder engine around a few days' payment-clearing buffer before the deadline, not the deadline itself.</w:t>
      </w:r>
    </w:p>
    <w:p>
      <w:pPr>
        <w:pStyle w:val="ListParagraph"/>
        <w:numPr>
          <w:ilvl w:val="0"/>
          <w:numId w:val="3"/>
        </w:numPr>
        <w:spacing w:after="90" w:line="290"/>
      </w:pPr>
      <w:r>
        <w:rPr>
          <w:color w:val="202020"/>
          <w:sz w:val="21"/>
          <w:szCs w:val="21"/>
        </w:rPr>
        <w:t xml:space="preserve">A nil return or a repayment return follows the exact same deadline as a return with tax to pay, the filing obligation does not relax just because nothing is owed.</w:t>
      </w:r>
    </w:p>
    <w:p>
      <w:pPr>
        <w:pStyle w:val="Heading3"/>
        <w:spacing w:after="100" w:before="200"/>
      </w:pPr>
      <w:r>
        <w:t xml:space="preserve">3.3.5 Flat Rate Scheme, a second calculation engine the platform needs if supported</w:t>
      </w:r>
    </w:p>
    <w:p>
      <w:pPr>
        <w:spacing w:after="150" w:line="300"/>
      </w:pPr>
      <w:r>
        <w:rPr>
          <w:color w:val="202020"/>
          <w:sz w:val="21"/>
          <w:szCs w:val="21"/>
        </w:rPr>
        <w:t xml:space="preserve">Instead of the standard method (output VAT charged to customers minus input VAT reclaimed on purchases), a Flat Rate Scheme business pays HMRC a fixed percentage of gross, VAT-inclusive turnover, the percentage is set by trade sector. They generally cannot reclaim input VAT on purchases, except on individual capital asset purchases of £2,000 or more including VAT.</w:t>
      </w:r>
    </w:p>
    <w:p>
      <w:pPr>
        <w:pStyle w:val="ListParagraph"/>
        <w:numPr>
          <w:ilvl w:val="0"/>
          <w:numId w:val="3"/>
        </w:numPr>
        <w:spacing w:after="90" w:line="290"/>
      </w:pPr>
      <w:r>
        <w:rPr>
          <w:color w:val="202020"/>
          <w:sz w:val="21"/>
          <w:szCs w:val="21"/>
        </w:rPr>
        <w:t xml:space="preserve">Joining threshold: forecast taxable turnover (VAT-exclusive) for the next year of £150,000 or below.</w:t>
      </w:r>
    </w:p>
    <w:p>
      <w:pPr>
        <w:pStyle w:val="ListParagraph"/>
        <w:numPr>
          <w:ilvl w:val="0"/>
          <w:numId w:val="3"/>
        </w:numPr>
        <w:spacing w:after="90" w:line="290"/>
      </w:pPr>
      <w:r>
        <w:rPr>
          <w:color w:val="202020"/>
          <w:sz w:val="21"/>
          <w:szCs w:val="21"/>
        </w:rPr>
        <w:t xml:space="preserve">Compulsory leaving threshold: total income (VAT-inclusive, a wider figure than taxable turnover) exceeds £230,000 at the scheme anniversary, or is reasonably expected to exceed £230,000 in the next 30 days alone. Note this test uses a different, VAT-inclusive income figure from the £150,000 joining test, the two are not directly comparable.</w:t>
      </w:r>
    </w:p>
    <w:p>
      <w:pPr>
        <w:pStyle w:val="ListParagraph"/>
        <w:numPr>
          <w:ilvl w:val="0"/>
          <w:numId w:val="3"/>
        </w:numPr>
        <w:spacing w:after="90" w:line="290"/>
      </w:pPr>
      <w:r>
        <w:rPr>
          <w:color w:val="202020"/>
          <w:sz w:val="21"/>
          <w:szCs w:val="21"/>
        </w:rPr>
        <w:t xml:space="preserve">HMRC may allow the business to stay on the scheme despite exceeding £230,000 if forecast income for the following 12 months will not exceed £191,500, a third, separate figure again.</w:t>
      </w:r>
    </w:p>
    <w:p>
      <w:pPr>
        <w:pStyle w:val="ListParagraph"/>
        <w:numPr>
          <w:ilvl w:val="0"/>
          <w:numId w:val="3"/>
        </w:numPr>
        <w:spacing w:after="90" w:line="290"/>
      </w:pPr>
      <w:r>
        <w:rPr>
          <w:color w:val="202020"/>
          <w:sz w:val="21"/>
          <w:szCs w:val="21"/>
        </w:rPr>
        <w:t xml:space="preserve">The "limited cost business" override: regardless of sector, a business whose spend on goods (not services) is below 2% of its flat-rate turnover, or is above 2% but below £1,000 a year (£250 a quarter), must use 16.5% instead of its sector percentage. This catches most pure-service businesses (consultants, IT contractors) and is frequently the rate that actually applies even when a sector percentage has been selected.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8A1F2D" w:sz="4"/>
              <w:left w:val="single" w:color="8A1F2D" w:sz="4"/>
              <w:bottom w:val="single" w:color="8A1F2D" w:sz="4"/>
              <w:right w:val="single" w:color="8A1F2D" w:sz="4"/>
            </w:tcBorders>
            <w:shd w:fill="FCEEEE" w:color="auto" w:val="clear"/>
            <w:tcMar>
              <w:top w:type="dxa" w:w="140"/>
              <w:left w:type="dxa" w:w="200"/>
              <w:bottom w:type="dxa" w:w="140"/>
              <w:right w:type="dxa" w:w="200"/>
            </w:tcMar>
          </w:tcPr>
          <w:p>
            <w:pPr>
              <w:spacing w:after="60"/>
            </w:pPr>
            <w:r>
              <w:rPr>
                <w:b/>
                <w:bCs/>
                <w:color w:val="8A1F2D"/>
                <w:sz w:val="20"/>
                <w:szCs w:val="20"/>
              </w:rPr>
              <w:t xml:space="preserve">BUILD RULE 3.3.5</w:t>
            </w:r>
          </w:p>
          <w:p>
            <w:pPr>
              <w:spacing w:after="0"/>
            </w:pPr>
            <w:r>
              <w:rPr>
                <w:color w:val="202020"/>
                <w:sz w:val="20"/>
                <w:szCs w:val="20"/>
              </w:rPr>
              <w:t xml:space="preserve">Standard VAT accounting and the Flat Rate Scheme are two structurally different calculations, not a toggle on the same formula. Standard = output VAT minus input VAT. Flat Rate = gross, VAT-inclusive turnover times a rate that depends on BOTH the declared trade sector AND the limited-cost-business test, which must be re-checked every period, not set once at signup. If the MVP only supports one, support standard accounting first, it covers more businesses; treat Flat Rate as a phase 2 addition. The full sector-rate lookup table and the limited-cost-business test are implemented in Section 12.3.</w:t>
            </w:r>
          </w:p>
        </w:tc>
      </w:tr>
    </w:tbl>
    <w:p>
      <w:pPr>
        <w:pStyle w:val="Heading3"/>
        <w:spacing w:after="100" w:before="200"/>
      </w:pPr>
      <w:r>
        <w:t xml:space="preserve">3.3.6 VAT: the nine-box return, in full</w:t>
      </w:r>
    </w:p>
    <w:p>
      <w:pPr>
        <w:spacing w:after="150" w:line="300"/>
      </w:pPr>
      <w:r>
        <w:rPr>
          <w:color w:val="202020"/>
          <w:sz w:val="21"/>
          <w:szCs w:val="21"/>
        </w:rPr>
        <w:t xml:space="preserve">The VAT return submitted through MTD is always the same nine boxes, regardless of how simple or complex the underlying transactions are. Boxes 1-5 are VAT amounts (pounds and pence), boxes 6-9 are net values (whole pounds, no VAT).</w:t>
      </w:r>
    </w:p>
    <w:p>
      <w:pPr>
        <w:pStyle w:val="ListParagraph"/>
        <w:numPr>
          <w:ilvl w:val="0"/>
          <w:numId w:val="3"/>
        </w:numPr>
        <w:spacing w:after="90" w:line="290"/>
      </w:pPr>
      <w:r>
        <w:rPr>
          <w:color w:val="202020"/>
          <w:sz w:val="21"/>
          <w:szCs w:val="21"/>
        </w:rPr>
        <w:t xml:space="preserve">Box 1: VAT due on sales and other outputs. Box 2: VAT due on acquisitions of goods into Northern Ireland from EU member states (£0 for GB-only businesses). Box 3: total VAT due, Box 1 + Box 2.</w:t>
      </w:r>
    </w:p>
    <w:p>
      <w:pPr>
        <w:pStyle w:val="ListParagraph"/>
        <w:numPr>
          <w:ilvl w:val="0"/>
          <w:numId w:val="3"/>
        </w:numPr>
        <w:spacing w:after="90" w:line="290"/>
      </w:pPr>
      <w:r>
        <w:rPr>
          <w:color w:val="202020"/>
          <w:sz w:val="21"/>
          <w:szCs w:val="21"/>
        </w:rPr>
        <w:t xml:space="preserve">Box 4: VAT reclaimed on purchases and other inputs, including postponed-accounting import VAT. Box 5: net VAT to pay or reclaim, the absolute difference between Box 3 and Box 4, always shown unsigned.</w:t>
      </w:r>
    </w:p>
    <w:p>
      <w:pPr>
        <w:pStyle w:val="ListParagraph"/>
        <w:numPr>
          <w:ilvl w:val="0"/>
          <w:numId w:val="3"/>
        </w:numPr>
        <w:spacing w:after="90" w:line="290"/>
      </w:pPr>
      <w:r>
        <w:rPr>
          <w:color w:val="202020"/>
          <w:sz w:val="21"/>
          <w:szCs w:val="21"/>
        </w:rPr>
        <w:t xml:space="preserve">Box 6: total value of sales and outputs excluding VAT. This includes zero-rated and exempt supplies, they are not excluded from Box 6, only from Box 1's VAT charge. Box 7: total value of purchases and inputs excluding VAT, including exempt purchases and imports.</w:t>
      </w:r>
    </w:p>
    <w:p>
      <w:pPr>
        <w:pStyle w:val="ListParagraph"/>
        <w:numPr>
          <w:ilvl w:val="0"/>
          <w:numId w:val="3"/>
        </w:numPr>
        <w:spacing w:after="90" w:line="290"/>
      </w:pPr>
      <w:r>
        <w:rPr>
          <w:color w:val="202020"/>
          <w:sz w:val="21"/>
          <w:szCs w:val="21"/>
        </w:rPr>
        <w:t xml:space="preserve">Box 8 and Box 9: value of goods (not services) moved to/from Northern Ireland and EU member states under the post-Brexit Northern Ireland goods regime. These are informational subsets that must already be included within Box 6 and Box 7 respectively, never added on top. £0 for GB-only businesses.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8A1F2D" w:sz="4"/>
              <w:left w:val="single" w:color="8A1F2D" w:sz="4"/>
              <w:bottom w:val="single" w:color="8A1F2D" w:sz="4"/>
              <w:right w:val="single" w:color="8A1F2D" w:sz="4"/>
            </w:tcBorders>
            <w:shd w:fill="FCEEEE" w:color="auto" w:val="clear"/>
            <w:tcMar>
              <w:top w:type="dxa" w:w="140"/>
              <w:left w:type="dxa" w:w="200"/>
              <w:bottom w:type="dxa" w:w="140"/>
              <w:right w:type="dxa" w:w="200"/>
            </w:tcMar>
          </w:tcPr>
          <w:p>
            <w:pPr>
              <w:spacing w:after="60"/>
            </w:pPr>
            <w:r>
              <w:rPr>
                <w:b/>
                <w:bCs/>
                <w:color w:val="8A1F2D"/>
                <w:sz w:val="20"/>
                <w:szCs w:val="20"/>
              </w:rPr>
              <w:t xml:space="preserve">BUILD RULE 3.3.6a</w:t>
            </w:r>
          </w:p>
          <w:p>
            <w:pPr>
              <w:spacing w:after="0"/>
            </w:pPr>
            <w:r>
              <w:rPr>
                <w:color w:val="202020"/>
                <w:sz w:val="20"/>
                <w:szCs w:val="20"/>
              </w:rPr>
              <w:t xml:space="preserve">Boxes 6-9 are net values to whole pounds, no pence, this part IS a confirmed hard constraint: HMRC's VAT (MTD) API schema itself requires an integer value for these boxes. Boxes 1-5 are VAT amounts to the penny. What is NOT published anywhere by HMRC, checked directly against VAT Notice 700/12 and the API specification, is which DIRECTION to round in, nearest, up, or down. "Round down" is a practitioner convention, not an HMRC rule. The reference engine in Section 12.3 implements round-half-up instead, matching HMRC's own stated rounding principle for VAT on invoices (round 0.5p or more up), as a documented default rather than a confirmed rule, see VR-27.</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shd w:fill="1F2937" w:color="auto" w:val="clear"/>
            <w:tcMar>
              <w:top w:type="dxa" w:w="160"/>
              <w:left w:type="dxa" w:w="200"/>
              <w:bottom w:type="dxa" w:w="160"/>
              <w:right w:type="dxa" w:w="200"/>
            </w:tcMar>
          </w:tcPr>
          <w:p>
            <w:pPr>
              <w:spacing w:after="40"/>
            </w:pPr>
            <w:r>
              <w:rPr>
                <w:rFonts w:ascii="Consolas" w:cs="Consolas" w:eastAsia="Consolas" w:hAnsi="Consolas"/>
                <w:color w:val="E5E7EB"/>
                <w:sz w:val="19"/>
                <w:szCs w:val="19"/>
              </w:rPr>
              <w:t xml:space="preserve">Example VAT quarter: £50,000 net standard-rated sales, £5,000 net zero-rated sales,</w:t>
            </w:r>
          </w:p>
          <w:p>
            <w:pPr>
              <w:spacing w:after="40"/>
            </w:pPr>
            <w:r>
              <w:rPr>
                <w:rFonts w:ascii="Consolas" w:cs="Consolas" w:eastAsia="Consolas" w:hAnsi="Consolas"/>
                <w:color w:val="E5E7EB"/>
                <w:sz w:val="19"/>
                <w:szCs w:val="19"/>
              </w:rPr>
              <w:t xml:space="preserve">£20,000 net standard-rated purchases. No EU or import transactions.</w:t>
            </w:r>
          </w:p>
          <w:p>
            <w:pPr>
              <w:spacing w:after="40"/>
            </w:pPr>
            <w:r>
              <w:rPr>
                <w:rFonts w:ascii="Consolas" w:cs="Consolas" w:eastAsia="Consolas" w:hAnsi="Consolas"/>
                <w:color w:val="E5E7EB"/>
                <w:sz w:val="19"/>
                <w:szCs w:val="19"/>
              </w:rPr>
              <w:t xml:space="preserve"/>
            </w:r>
          </w:p>
          <w:p>
            <w:pPr>
              <w:spacing w:after="40"/>
            </w:pPr>
            <w:r>
              <w:rPr>
                <w:rFonts w:ascii="Consolas" w:cs="Consolas" w:eastAsia="Consolas" w:hAnsi="Consolas"/>
                <w:color w:val="E5E7EB"/>
                <w:sz w:val="19"/>
                <w:szCs w:val="19"/>
              </w:rPr>
              <w:t xml:space="preserve">Box 1 (VAT on sales)      = £50,000 x 20%              = £10,000.00</w:t>
            </w:r>
          </w:p>
          <w:p>
            <w:pPr>
              <w:spacing w:after="40"/>
            </w:pPr>
            <w:r>
              <w:rPr>
                <w:rFonts w:ascii="Consolas" w:cs="Consolas" w:eastAsia="Consolas" w:hAnsi="Consolas"/>
                <w:color w:val="E5E7EB"/>
                <w:sz w:val="19"/>
                <w:szCs w:val="19"/>
              </w:rPr>
              <w:t xml:space="preserve">Box 2 (NI-EU acquisitions VAT) = none                   =      £0.00</w:t>
            </w:r>
          </w:p>
          <w:p>
            <w:pPr>
              <w:spacing w:after="40"/>
            </w:pPr>
            <w:r>
              <w:rPr>
                <w:rFonts w:ascii="Consolas" w:cs="Consolas" w:eastAsia="Consolas" w:hAnsi="Consolas"/>
                <w:color w:val="E5E7EB"/>
                <w:sz w:val="19"/>
                <w:szCs w:val="19"/>
              </w:rPr>
              <w:t xml:space="preserve">Box 3 (total VAT due)     = Box 1 + Box 2                = £10,000.00</w:t>
            </w:r>
          </w:p>
          <w:p>
            <w:pPr>
              <w:spacing w:after="40"/>
            </w:pPr>
            <w:r>
              <w:rPr>
                <w:rFonts w:ascii="Consolas" w:cs="Consolas" w:eastAsia="Consolas" w:hAnsi="Consolas"/>
                <w:color w:val="E5E7EB"/>
                <w:sz w:val="19"/>
                <w:szCs w:val="19"/>
              </w:rPr>
              <w:t xml:space="preserve">Box 4 (VAT reclaimed)     = £20,000 x 20%                =  £4,000.00</w:t>
            </w:r>
          </w:p>
          <w:p>
            <w:pPr>
              <w:spacing w:after="40"/>
            </w:pPr>
            <w:r>
              <w:rPr>
                <w:rFonts w:ascii="Consolas" w:cs="Consolas" w:eastAsia="Consolas" w:hAnsi="Consolas"/>
                <w:color w:val="E5E7EB"/>
                <w:sz w:val="19"/>
                <w:szCs w:val="19"/>
              </w:rPr>
              <w:t xml:space="preserve">Box 5 (net VAT payable)   = Box 3 - Box 4                =  £6,000.00 payable</w:t>
            </w:r>
          </w:p>
          <w:p>
            <w:pPr>
              <w:spacing w:after="40"/>
            </w:pPr>
            <w:r>
              <w:rPr>
                <w:rFonts w:ascii="Consolas" w:cs="Consolas" w:eastAsia="Consolas" w:hAnsi="Consolas"/>
                <w:color w:val="E5E7EB"/>
                <w:sz w:val="19"/>
                <w:szCs w:val="19"/>
              </w:rPr>
              <w:t xml:space="preserve">Box 6 (sales ex-VAT)      = £50,000 + £5,000             =    £55,000</w:t>
            </w:r>
          </w:p>
          <w:p>
            <w:pPr>
              <w:spacing w:after="40"/>
            </w:pPr>
            <w:r>
              <w:rPr>
                <w:rFonts w:ascii="Consolas" w:cs="Consolas" w:eastAsia="Consolas" w:hAnsi="Consolas"/>
                <w:color w:val="E5E7EB"/>
                <w:sz w:val="19"/>
                <w:szCs w:val="19"/>
              </w:rPr>
              <w:t xml:space="preserve">Box 7 (purchases ex-VAT)  = £20,000                      =    £20,000</w:t>
            </w:r>
          </w:p>
          <w:p>
            <w:pPr>
              <w:spacing w:after="40"/>
            </w:pPr>
            <w:r>
              <w:rPr>
                <w:rFonts w:ascii="Consolas" w:cs="Consolas" w:eastAsia="Consolas" w:hAnsi="Consolas"/>
                <w:color w:val="E5E7EB"/>
                <w:sz w:val="19"/>
                <w:szCs w:val="19"/>
              </w:rPr>
              <w:t xml:space="preserve">Box 8 (goods to EU)       = none                         =        £0</w:t>
            </w:r>
          </w:p>
          <w:p>
            <w:pPr>
              <w:spacing w:after="40"/>
            </w:pPr>
            <w:r>
              <w:rPr>
                <w:rFonts w:ascii="Consolas" w:cs="Consolas" w:eastAsia="Consolas" w:hAnsi="Consolas"/>
                <w:color w:val="E5E7EB"/>
                <w:sz w:val="19"/>
                <w:szCs w:val="19"/>
              </w:rPr>
              <w:t xml:space="preserve">Box 9 (goods from EU)     = none                         =        £0</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8A1F2D" w:sz="4"/>
              <w:left w:val="single" w:color="8A1F2D" w:sz="4"/>
              <w:bottom w:val="single" w:color="8A1F2D" w:sz="4"/>
              <w:right w:val="single" w:color="8A1F2D" w:sz="4"/>
            </w:tcBorders>
            <w:shd w:fill="FCEEEE" w:color="auto" w:val="clear"/>
            <w:tcMar>
              <w:top w:type="dxa" w:w="140"/>
              <w:left w:type="dxa" w:w="200"/>
              <w:bottom w:type="dxa" w:w="140"/>
              <w:right w:type="dxa" w:w="200"/>
            </w:tcMar>
          </w:tcPr>
          <w:p>
            <w:pPr>
              <w:spacing w:after="60"/>
            </w:pPr>
            <w:r>
              <w:rPr>
                <w:b/>
                <w:bCs/>
                <w:color w:val="8A1F2D"/>
                <w:sz w:val="20"/>
                <w:szCs w:val="20"/>
              </w:rPr>
              <w:t xml:space="preserve">BUILD RULE 3.3.6b, test suite sanity checks</w:t>
            </w:r>
          </w:p>
          <w:p>
            <w:pPr>
              <w:spacing w:after="0"/>
            </w:pPr>
            <w:r>
              <w:rPr>
                <w:color w:val="202020"/>
                <w:sz w:val="20"/>
                <w:szCs w:val="20"/>
              </w:rPr>
              <w:t xml:space="preserve">Box 3 must always equal Box 1 + Box 2. Box 5 must always equal the absolute difference between Box 3 and Box 4. Box 8's value must always be less than or equal to Box 6, and Box 9's value must always be less than or equal to Box 7, they are subsets, never additions.</w:t>
            </w:r>
          </w:p>
        </w:tc>
      </w:tr>
    </w:tbl>
    <w:p>
      <w:pPr>
        <w:pStyle w:val="Heading2"/>
        <w:spacing w:after="140" w:before="300"/>
      </w:pPr>
      <w:r>
        <w:t xml:space="preserve">3.4 Income Tax and National Insurance (self-employed and company directors)</w:t>
      </w:r>
    </w:p>
    <w:p>
      <w:pPr>
        <w:pStyle w:val="Heading3"/>
        <w:spacing w:after="100" w:before="200"/>
      </w:pPr>
      <w:r>
        <w:t xml:space="preserve">3.4.1 Income Tax bands, current for 2026/27</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5246"/>
      </w:tblGrid>
      <w:tr>
        <w:trPr>
          <w:tblHeader/>
        </w:trPr>
        <w:tc>
          <w:tcPr>
            <w:tcW w:type="dxa" w:w="2600"/>
            <w:shd w:fill="1F3A5F" w:color="auto" w:val="clear"/>
            <w:tcMar>
              <w:top w:type="dxa" w:w="80"/>
              <w:left w:type="dxa" w:w="100"/>
              <w:bottom w:type="dxa" w:w="80"/>
              <w:right w:type="dxa" w:w="100"/>
            </w:tcMar>
          </w:tcPr>
          <w:p>
            <w:pPr>
              <w:jc w:val="left"/>
            </w:pPr>
            <w:r>
              <w:rPr>
                <w:b/>
                <w:bCs/>
                <w:color w:val="FFFFFF"/>
                <w:sz w:val="18"/>
                <w:szCs w:val="18"/>
              </w:rPr>
              <w:t xml:space="preserve">Band</w:t>
            </w:r>
          </w:p>
        </w:tc>
        <w:tc>
          <w:tcPr>
            <w:tcW w:type="dxa" w:w="1900"/>
            <w:shd w:fill="1F3A5F" w:color="auto" w:val="clear"/>
            <w:tcMar>
              <w:top w:type="dxa" w:w="80"/>
              <w:left w:type="dxa" w:w="100"/>
              <w:bottom w:type="dxa" w:w="80"/>
              <w:right w:type="dxa" w:w="100"/>
            </w:tcMar>
          </w:tcPr>
          <w:p>
            <w:pPr>
              <w:jc w:val="left"/>
            </w:pPr>
            <w:r>
              <w:rPr>
                <w:b/>
                <w:bCs/>
                <w:color w:val="FFFFFF"/>
                <w:sz w:val="18"/>
                <w:szCs w:val="18"/>
              </w:rPr>
              <w:t xml:space="preserve">Rate</w:t>
            </w:r>
          </w:p>
        </w:tc>
        <w:tc>
          <w:tcPr>
            <w:tcW w:type="dxa" w:w="5246"/>
            <w:shd w:fill="1F3A5F" w:color="auto" w:val="clear"/>
            <w:tcMar>
              <w:top w:type="dxa" w:w="80"/>
              <w:left w:type="dxa" w:w="100"/>
              <w:bottom w:type="dxa" w:w="80"/>
              <w:right w:type="dxa" w:w="100"/>
            </w:tcMar>
          </w:tcPr>
          <w:p>
            <w:pPr>
              <w:jc w:val="left"/>
            </w:pPr>
            <w:r>
              <w:rPr>
                <w:b/>
                <w:bCs/>
                <w:color w:val="FFFFFF"/>
                <w:sz w:val="18"/>
                <w:szCs w:val="18"/>
              </w:rPr>
              <w:t xml:space="preserve">Range, 2026/27</w:t>
            </w:r>
          </w:p>
        </w:tc>
      </w:tr>
      <w:tr>
        <w:tc>
          <w:tcPr>
            <w:tcW w:type="dxa" w:w="2600"/>
            <w:tcMar>
              <w:top w:type="dxa" w:w="80"/>
              <w:left w:type="dxa" w:w="100"/>
              <w:bottom w:type="dxa" w:w="80"/>
              <w:right w:type="dxa" w:w="100"/>
            </w:tcMar>
          </w:tcPr>
          <w:p>
            <w:pPr>
              <w:jc w:val="left"/>
            </w:pPr>
            <w:r>
              <w:rPr>
                <w:b w:val="false"/>
                <w:bCs w:val="false"/>
                <w:color w:val="202020"/>
                <w:sz w:val="18"/>
                <w:szCs w:val="18"/>
              </w:rPr>
              <w:t xml:space="preserve">Personal Allowance</w:t>
            </w:r>
          </w:p>
        </w:tc>
        <w:tc>
          <w:tcPr>
            <w:tcW w:type="dxa" w:w="1900"/>
            <w:tcMar>
              <w:top w:type="dxa" w:w="80"/>
              <w:left w:type="dxa" w:w="100"/>
              <w:bottom w:type="dxa" w:w="80"/>
              <w:right w:type="dxa" w:w="100"/>
            </w:tcMar>
          </w:tcPr>
          <w:p>
            <w:pPr>
              <w:jc w:val="left"/>
            </w:pPr>
            <w:r>
              <w:rPr>
                <w:b w:val="false"/>
                <w:bCs w:val="false"/>
                <w:color w:val="202020"/>
                <w:sz w:val="18"/>
                <w:szCs w:val="18"/>
              </w:rPr>
              <w:t xml:space="preserve">0%</w:t>
            </w:r>
          </w:p>
        </w:tc>
        <w:tc>
          <w:tcPr>
            <w:tcW w:type="dxa" w:w="5246"/>
            <w:tcMar>
              <w:top w:type="dxa" w:w="80"/>
              <w:left w:type="dxa" w:w="100"/>
              <w:bottom w:type="dxa" w:w="80"/>
              <w:right w:type="dxa" w:w="100"/>
            </w:tcMar>
          </w:tcPr>
          <w:p>
            <w:pPr>
              <w:jc w:val="left"/>
            </w:pPr>
            <w:r>
              <w:rPr>
                <w:b w:val="false"/>
                <w:bCs w:val="false"/>
                <w:color w:val="202020"/>
                <w:sz w:val="18"/>
                <w:szCs w:val="18"/>
              </w:rPr>
              <w:t xml:space="preserve">Up to £12,570</w:t>
            </w:r>
          </w:p>
        </w:tc>
      </w:tr>
      <w:tr>
        <w:tc>
          <w:tcPr>
            <w:tcW w:type="dxa" w:w="2600"/>
            <w:shd w:fill="F2F2F2" w:color="auto" w:val="clear"/>
            <w:tcMar>
              <w:top w:type="dxa" w:w="80"/>
              <w:left w:type="dxa" w:w="100"/>
              <w:bottom w:type="dxa" w:w="80"/>
              <w:right w:type="dxa" w:w="100"/>
            </w:tcMar>
          </w:tcPr>
          <w:p>
            <w:pPr>
              <w:jc w:val="left"/>
            </w:pPr>
            <w:r>
              <w:rPr>
                <w:b w:val="false"/>
                <w:bCs w:val="false"/>
                <w:color w:val="202020"/>
                <w:sz w:val="18"/>
                <w:szCs w:val="18"/>
              </w:rPr>
              <w:t xml:space="preserve">Basic rate</w:t>
            </w:r>
          </w:p>
        </w:tc>
        <w:tc>
          <w:tcPr>
            <w:tcW w:type="dxa" w:w="1900"/>
            <w:shd w:fill="F2F2F2" w:color="auto" w:val="clear"/>
            <w:tcMar>
              <w:top w:type="dxa" w:w="80"/>
              <w:left w:type="dxa" w:w="100"/>
              <w:bottom w:type="dxa" w:w="80"/>
              <w:right w:type="dxa" w:w="100"/>
            </w:tcMar>
          </w:tcPr>
          <w:p>
            <w:pPr>
              <w:jc w:val="left"/>
            </w:pPr>
            <w:r>
              <w:rPr>
                <w:b w:val="false"/>
                <w:bCs w:val="false"/>
                <w:color w:val="202020"/>
                <w:sz w:val="18"/>
                <w:szCs w:val="18"/>
              </w:rPr>
              <w:t xml:space="preserve">20%</w:t>
            </w:r>
          </w:p>
        </w:tc>
        <w:tc>
          <w:tcPr>
            <w:tcW w:type="dxa" w:w="5246"/>
            <w:shd w:fill="F2F2F2" w:color="auto" w:val="clear"/>
            <w:tcMar>
              <w:top w:type="dxa" w:w="80"/>
              <w:left w:type="dxa" w:w="100"/>
              <w:bottom w:type="dxa" w:w="80"/>
              <w:right w:type="dxa" w:w="100"/>
            </w:tcMar>
          </w:tcPr>
          <w:p>
            <w:pPr>
              <w:jc w:val="left"/>
            </w:pPr>
            <w:r>
              <w:rPr>
                <w:b w:val="false"/>
                <w:bCs w:val="false"/>
                <w:color w:val="202020"/>
                <w:sz w:val="18"/>
                <w:szCs w:val="18"/>
              </w:rPr>
              <w:t xml:space="preserve">£12,571 to £50,270</w:t>
            </w:r>
          </w:p>
        </w:tc>
      </w:tr>
      <w:tr>
        <w:tc>
          <w:tcPr>
            <w:tcW w:type="dxa" w:w="2600"/>
            <w:tcMar>
              <w:top w:type="dxa" w:w="80"/>
              <w:left w:type="dxa" w:w="100"/>
              <w:bottom w:type="dxa" w:w="80"/>
              <w:right w:type="dxa" w:w="100"/>
            </w:tcMar>
          </w:tcPr>
          <w:p>
            <w:pPr>
              <w:jc w:val="left"/>
            </w:pPr>
            <w:r>
              <w:rPr>
                <w:b w:val="false"/>
                <w:bCs w:val="false"/>
                <w:color w:val="202020"/>
                <w:sz w:val="18"/>
                <w:szCs w:val="18"/>
              </w:rPr>
              <w:t xml:space="preserve">Higher rate</w:t>
            </w:r>
          </w:p>
        </w:tc>
        <w:tc>
          <w:tcPr>
            <w:tcW w:type="dxa" w:w="1900"/>
            <w:tcMar>
              <w:top w:type="dxa" w:w="80"/>
              <w:left w:type="dxa" w:w="100"/>
              <w:bottom w:type="dxa" w:w="80"/>
              <w:right w:type="dxa" w:w="100"/>
            </w:tcMar>
          </w:tcPr>
          <w:p>
            <w:pPr>
              <w:jc w:val="left"/>
            </w:pPr>
            <w:r>
              <w:rPr>
                <w:b w:val="false"/>
                <w:bCs w:val="false"/>
                <w:color w:val="202020"/>
                <w:sz w:val="18"/>
                <w:szCs w:val="18"/>
              </w:rPr>
              <w:t xml:space="preserve">40%</w:t>
            </w:r>
          </w:p>
        </w:tc>
        <w:tc>
          <w:tcPr>
            <w:tcW w:type="dxa" w:w="5246"/>
            <w:tcMar>
              <w:top w:type="dxa" w:w="80"/>
              <w:left w:type="dxa" w:w="100"/>
              <w:bottom w:type="dxa" w:w="80"/>
              <w:right w:type="dxa" w:w="100"/>
            </w:tcMar>
          </w:tcPr>
          <w:p>
            <w:pPr>
              <w:jc w:val="left"/>
            </w:pPr>
            <w:r>
              <w:rPr>
                <w:b w:val="false"/>
                <w:bCs w:val="false"/>
                <w:color w:val="202020"/>
                <w:sz w:val="18"/>
                <w:szCs w:val="18"/>
              </w:rPr>
              <w:t xml:space="preserve">£50,271 to £125,140</w:t>
            </w:r>
          </w:p>
        </w:tc>
      </w:tr>
      <w:tr>
        <w:tc>
          <w:tcPr>
            <w:tcW w:type="dxa" w:w="2600"/>
            <w:shd w:fill="F2F2F2" w:color="auto" w:val="clear"/>
            <w:tcMar>
              <w:top w:type="dxa" w:w="80"/>
              <w:left w:type="dxa" w:w="100"/>
              <w:bottom w:type="dxa" w:w="80"/>
              <w:right w:type="dxa" w:w="100"/>
            </w:tcMar>
          </w:tcPr>
          <w:p>
            <w:pPr>
              <w:jc w:val="left"/>
            </w:pPr>
            <w:r>
              <w:rPr>
                <w:b w:val="false"/>
                <w:bCs w:val="false"/>
                <w:color w:val="202020"/>
                <w:sz w:val="18"/>
                <w:szCs w:val="18"/>
              </w:rPr>
              <w:t xml:space="preserve">Additional rate</w:t>
            </w:r>
          </w:p>
        </w:tc>
        <w:tc>
          <w:tcPr>
            <w:tcW w:type="dxa" w:w="1900"/>
            <w:shd w:fill="F2F2F2" w:color="auto" w:val="clear"/>
            <w:tcMar>
              <w:top w:type="dxa" w:w="80"/>
              <w:left w:type="dxa" w:w="100"/>
              <w:bottom w:type="dxa" w:w="80"/>
              <w:right w:type="dxa" w:w="100"/>
            </w:tcMar>
          </w:tcPr>
          <w:p>
            <w:pPr>
              <w:jc w:val="left"/>
            </w:pPr>
            <w:r>
              <w:rPr>
                <w:b w:val="false"/>
                <w:bCs w:val="false"/>
                <w:color w:val="202020"/>
                <w:sz w:val="18"/>
                <w:szCs w:val="18"/>
              </w:rPr>
              <w:t xml:space="preserve">45%</w:t>
            </w:r>
          </w:p>
        </w:tc>
        <w:tc>
          <w:tcPr>
            <w:tcW w:type="dxa" w:w="5246"/>
            <w:shd w:fill="F2F2F2" w:color="auto" w:val="clear"/>
            <w:tcMar>
              <w:top w:type="dxa" w:w="80"/>
              <w:left w:type="dxa" w:w="100"/>
              <w:bottom w:type="dxa" w:w="80"/>
              <w:right w:type="dxa" w:w="100"/>
            </w:tcMar>
          </w:tcPr>
          <w:p>
            <w:pPr>
              <w:jc w:val="left"/>
            </w:pPr>
            <w:r>
              <w:rPr>
                <w:b w:val="false"/>
                <w:bCs w:val="false"/>
                <w:color w:val="202020"/>
                <w:sz w:val="18"/>
                <w:szCs w:val="18"/>
              </w:rPr>
              <w:t xml:space="preserve">Above £125,140</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8A1F2D" w:sz="4"/>
              <w:left w:val="single" w:color="8A1F2D" w:sz="4"/>
              <w:bottom w:val="single" w:color="8A1F2D" w:sz="4"/>
              <w:right w:val="single" w:color="8A1F2D" w:sz="4"/>
            </w:tcBorders>
            <w:shd w:fill="FCEEEE" w:color="auto" w:val="clear"/>
            <w:tcMar>
              <w:top w:type="dxa" w:w="140"/>
              <w:left w:type="dxa" w:w="200"/>
              <w:bottom w:type="dxa" w:w="140"/>
              <w:right w:type="dxa" w:w="200"/>
            </w:tcMar>
          </w:tcPr>
          <w:p>
            <w:pPr>
              <w:spacing w:after="60"/>
            </w:pPr>
            <w:r>
              <w:rPr>
                <w:b/>
                <w:bCs/>
                <w:color w:val="8A1F2D"/>
                <w:sz w:val="20"/>
                <w:szCs w:val="20"/>
              </w:rPr>
              <w:t xml:space="preserve">BUILD RULE 3.4.1</w:t>
            </w:r>
          </w:p>
          <w:p>
            <w:pPr>
              <w:spacing w:after="0"/>
            </w:pPr>
            <w:r>
              <w:rPr>
                <w:color w:val="202020"/>
                <w:sz w:val="20"/>
                <w:szCs w:val="20"/>
              </w:rPr>
              <w:t xml:space="preserve">The Personal Allowance tapers away for income over £100,000: it reduces by £1 for every £2 of adjusted net income above £100,000, reaching £0 at £125,140. This must be modelled as a taper function, not a fixed allowance, for any user with income in that range.</w:t>
            </w:r>
          </w:p>
        </w:tc>
      </w:tr>
    </w:tbl>
    <w:p>
      <w:pPr>
        <w:pStyle w:val="Heading3"/>
        <w:spacing w:after="100" w:before="200"/>
      </w:pPr>
      <w:r>
        <w:t xml:space="preserve">3.4.2 National Insurance, self-employed, current for 2026/27</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946"/>
      </w:tblGrid>
      <w:tr>
        <w:trPr>
          <w:tblHeader/>
        </w:trPr>
        <w:tc>
          <w:tcPr>
            <w:tcW w:type="dxa" w:w="2600"/>
            <w:shd w:fill="1F3A5F" w:color="auto" w:val="clear"/>
            <w:tcMar>
              <w:top w:type="dxa" w:w="80"/>
              <w:left w:type="dxa" w:w="100"/>
              <w:bottom w:type="dxa" w:w="80"/>
              <w:right w:type="dxa" w:w="100"/>
            </w:tcMar>
          </w:tcPr>
          <w:p>
            <w:pPr>
              <w:jc w:val="left"/>
            </w:pPr>
            <w:r>
              <w:rPr>
                <w:b/>
                <w:bCs/>
                <w:color w:val="FFFFFF"/>
                <w:sz w:val="18"/>
                <w:szCs w:val="18"/>
              </w:rPr>
              <w:t xml:space="preserve">Class</w:t>
            </w:r>
          </w:p>
        </w:tc>
        <w:tc>
          <w:tcPr>
            <w:tcW w:type="dxa" w:w="2200"/>
            <w:shd w:fill="1F3A5F" w:color="auto" w:val="clear"/>
            <w:tcMar>
              <w:top w:type="dxa" w:w="80"/>
              <w:left w:type="dxa" w:w="100"/>
              <w:bottom w:type="dxa" w:w="80"/>
              <w:right w:type="dxa" w:w="100"/>
            </w:tcMar>
          </w:tcPr>
          <w:p>
            <w:pPr>
              <w:jc w:val="left"/>
            </w:pPr>
            <w:r>
              <w:rPr>
                <w:b/>
                <w:bCs/>
                <w:color w:val="FFFFFF"/>
                <w:sz w:val="18"/>
                <w:szCs w:val="18"/>
              </w:rPr>
              <w:t xml:space="preserve">Rate/amount</w:t>
            </w:r>
          </w:p>
        </w:tc>
        <w:tc>
          <w:tcPr>
            <w:tcW w:type="dxa" w:w="4946"/>
            <w:shd w:fill="1F3A5F" w:color="auto" w:val="clear"/>
            <w:tcMar>
              <w:top w:type="dxa" w:w="80"/>
              <w:left w:type="dxa" w:w="100"/>
              <w:bottom w:type="dxa" w:w="80"/>
              <w:right w:type="dxa" w:w="100"/>
            </w:tcMar>
          </w:tcPr>
          <w:p>
            <w:pPr>
              <w:jc w:val="left"/>
            </w:pPr>
            <w:r>
              <w:rPr>
                <w:b/>
                <w:bCs/>
                <w:color w:val="FFFFFF"/>
                <w:sz w:val="18"/>
                <w:szCs w:val="18"/>
              </w:rPr>
              <w:t xml:space="preserve">Applies to</w:t>
            </w:r>
          </w:p>
        </w:tc>
      </w:tr>
      <w:tr>
        <w:tc>
          <w:tcPr>
            <w:tcW w:type="dxa" w:w="2600"/>
            <w:tcMar>
              <w:top w:type="dxa" w:w="80"/>
              <w:left w:type="dxa" w:w="100"/>
              <w:bottom w:type="dxa" w:w="80"/>
              <w:right w:type="dxa" w:w="100"/>
            </w:tcMar>
          </w:tcPr>
          <w:p>
            <w:pPr>
              <w:jc w:val="left"/>
            </w:pPr>
            <w:r>
              <w:rPr>
                <w:b w:val="false"/>
                <w:bCs w:val="false"/>
                <w:color w:val="202020"/>
                <w:sz w:val="18"/>
                <w:szCs w:val="18"/>
              </w:rPr>
              <w:t xml:space="preserve">Class 2</w:t>
            </w:r>
          </w:p>
        </w:tc>
        <w:tc>
          <w:tcPr>
            <w:tcW w:type="dxa" w:w="2200"/>
            <w:tcMar>
              <w:top w:type="dxa" w:w="80"/>
              <w:left w:type="dxa" w:w="100"/>
              <w:bottom w:type="dxa" w:w="80"/>
              <w:right w:type="dxa" w:w="100"/>
            </w:tcMar>
          </w:tcPr>
          <w:p>
            <w:pPr>
              <w:jc w:val="left"/>
            </w:pPr>
            <w:r>
              <w:rPr>
                <w:b w:val="false"/>
                <w:bCs w:val="false"/>
                <w:color w:val="202020"/>
                <w:sz w:val="18"/>
                <w:szCs w:val="18"/>
              </w:rPr>
              <w:t xml:space="preserve">£0 (auto-credited); £3.65/week if paid voluntarily</w:t>
            </w:r>
          </w:p>
        </w:tc>
        <w:tc>
          <w:tcPr>
            <w:tcW w:type="dxa" w:w="4946"/>
            <w:tcMar>
              <w:top w:type="dxa" w:w="80"/>
              <w:left w:type="dxa" w:w="100"/>
              <w:bottom w:type="dxa" w:w="80"/>
              <w:right w:type="dxa" w:w="100"/>
            </w:tcMar>
          </w:tcPr>
          <w:p>
            <w:pPr>
              <w:jc w:val="left"/>
            </w:pPr>
            <w:r>
              <w:rPr>
                <w:b w:val="false"/>
                <w:bCs w:val="false"/>
                <w:color w:val="202020"/>
                <w:sz w:val="18"/>
                <w:szCs w:val="18"/>
              </w:rPr>
              <w:t xml:space="preserve">Effectively abolished as a payment obligation above the £7,105 Small Profits Threshold; voluntary below it to protect state pension entitlement</w:t>
            </w:r>
          </w:p>
        </w:tc>
      </w:tr>
      <w:tr>
        <w:tc>
          <w:tcPr>
            <w:tcW w:type="dxa" w:w="2600"/>
            <w:shd w:fill="F2F2F2" w:color="auto" w:val="clear"/>
            <w:tcMar>
              <w:top w:type="dxa" w:w="80"/>
              <w:left w:type="dxa" w:w="100"/>
              <w:bottom w:type="dxa" w:w="80"/>
              <w:right w:type="dxa" w:w="100"/>
            </w:tcMar>
          </w:tcPr>
          <w:p>
            <w:pPr>
              <w:jc w:val="left"/>
            </w:pPr>
            <w:r>
              <w:rPr>
                <w:b w:val="false"/>
                <w:bCs w:val="false"/>
                <w:color w:val="202020"/>
                <w:sz w:val="18"/>
                <w:szCs w:val="18"/>
              </w:rPr>
              <w:t xml:space="preserve">Class 4</w:t>
            </w:r>
          </w:p>
        </w:tc>
        <w:tc>
          <w:tcPr>
            <w:tcW w:type="dxa" w:w="2200"/>
            <w:shd w:fill="F2F2F2" w:color="auto" w:val="clear"/>
            <w:tcMar>
              <w:top w:type="dxa" w:w="80"/>
              <w:left w:type="dxa" w:w="100"/>
              <w:bottom w:type="dxa" w:w="80"/>
              <w:right w:type="dxa" w:w="100"/>
            </w:tcMar>
          </w:tcPr>
          <w:p>
            <w:pPr>
              <w:jc w:val="left"/>
            </w:pPr>
            <w:r>
              <w:rPr>
                <w:b w:val="false"/>
                <w:bCs w:val="false"/>
                <w:color w:val="202020"/>
                <w:sz w:val="18"/>
                <w:szCs w:val="18"/>
              </w:rPr>
              <w:t xml:space="preserve">6%</w:t>
            </w:r>
          </w:p>
        </w:tc>
        <w:tc>
          <w:tcPr>
            <w:tcW w:type="dxa" w:w="4946"/>
            <w:shd w:fill="F2F2F2" w:color="auto" w:val="clear"/>
            <w:tcMar>
              <w:top w:type="dxa" w:w="80"/>
              <w:left w:type="dxa" w:w="100"/>
              <w:bottom w:type="dxa" w:w="80"/>
              <w:right w:type="dxa" w:w="100"/>
            </w:tcMar>
          </w:tcPr>
          <w:p>
            <w:pPr>
              <w:jc w:val="left"/>
            </w:pPr>
            <w:r>
              <w:rPr>
                <w:b w:val="false"/>
                <w:bCs w:val="false"/>
                <w:color w:val="202020"/>
                <w:sz w:val="18"/>
                <w:szCs w:val="18"/>
              </w:rPr>
              <w:t xml:space="preserve">Profits from £12,570 to £50,270 (the Lower and Upper Profits Limits)</w:t>
            </w:r>
          </w:p>
        </w:tc>
      </w:tr>
      <w:tr>
        <w:tc>
          <w:tcPr>
            <w:tcW w:type="dxa" w:w="2600"/>
            <w:tcMar>
              <w:top w:type="dxa" w:w="80"/>
              <w:left w:type="dxa" w:w="100"/>
              <w:bottom w:type="dxa" w:w="80"/>
              <w:right w:type="dxa" w:w="100"/>
            </w:tcMar>
          </w:tcPr>
          <w:p>
            <w:pPr>
              <w:jc w:val="left"/>
            </w:pPr>
            <w:r>
              <w:rPr>
                <w:b w:val="false"/>
                <w:bCs w:val="false"/>
                <w:color w:val="202020"/>
                <w:sz w:val="18"/>
                <w:szCs w:val="18"/>
              </w:rPr>
              <w:t xml:space="preserve">Class 4</w:t>
            </w:r>
          </w:p>
        </w:tc>
        <w:tc>
          <w:tcPr>
            <w:tcW w:type="dxa" w:w="2200"/>
            <w:tcMar>
              <w:top w:type="dxa" w:w="80"/>
              <w:left w:type="dxa" w:w="100"/>
              <w:bottom w:type="dxa" w:w="80"/>
              <w:right w:type="dxa" w:w="100"/>
            </w:tcMar>
          </w:tcPr>
          <w:p>
            <w:pPr>
              <w:jc w:val="left"/>
            </w:pPr>
            <w:r>
              <w:rPr>
                <w:b w:val="false"/>
                <w:bCs w:val="false"/>
                <w:color w:val="202020"/>
                <w:sz w:val="18"/>
                <w:szCs w:val="18"/>
              </w:rPr>
              <w:t xml:space="preserve">2%</w:t>
            </w:r>
          </w:p>
        </w:tc>
        <w:tc>
          <w:tcPr>
            <w:tcW w:type="dxa" w:w="4946"/>
            <w:tcMar>
              <w:top w:type="dxa" w:w="80"/>
              <w:left w:type="dxa" w:w="100"/>
              <w:bottom w:type="dxa" w:w="80"/>
              <w:right w:type="dxa" w:w="100"/>
            </w:tcMar>
          </w:tcPr>
          <w:p>
            <w:pPr>
              <w:jc w:val="left"/>
            </w:pPr>
            <w:r>
              <w:rPr>
                <w:b w:val="false"/>
                <w:bCs w:val="false"/>
                <w:color w:val="202020"/>
                <w:sz w:val="18"/>
                <w:szCs w:val="18"/>
              </w:rPr>
              <w:t xml:space="preserve">Profits above £50,270</w:t>
            </w:r>
          </w:p>
        </w:tc>
      </w:tr>
    </w:tbl>
    <w:p>
      <w:pPr>
        <w:pStyle w:val="Heading3"/>
        <w:spacing w:after="100" w:before="200"/>
      </w:pPr>
      <w:r>
        <w:t xml:space="preserve">3.4.3 Self Assessment deadlines, for users still on the old annual process</w:t>
      </w:r>
    </w:p>
    <w:p>
      <w:pPr>
        <w:pStyle w:val="ListParagraph"/>
        <w:numPr>
          <w:ilvl w:val="0"/>
          <w:numId w:val="3"/>
        </w:numPr>
        <w:spacing w:after="90" w:line="290"/>
      </w:pPr>
      <w:r>
        <w:rPr>
          <w:color w:val="202020"/>
          <w:sz w:val="21"/>
          <w:szCs w:val="21"/>
        </w:rPr>
        <w:t xml:space="preserve">Online filing deadline: 31 January following the end of the tax year.</w:t>
      </w:r>
    </w:p>
    <w:p>
      <w:pPr>
        <w:pStyle w:val="ListParagraph"/>
        <w:numPr>
          <w:ilvl w:val="0"/>
          <w:numId w:val="3"/>
        </w:numPr>
        <w:spacing w:after="90" w:line="290"/>
      </w:pPr>
      <w:r>
        <w:rPr>
          <w:color w:val="202020"/>
          <w:sz w:val="21"/>
          <w:szCs w:val="21"/>
        </w:rPr>
        <w:t xml:space="preserve">Paper filing deadline: 31 October following the end of the tax year.</w:t>
      </w:r>
    </w:p>
    <w:p>
      <w:pPr>
        <w:pStyle w:val="ListParagraph"/>
        <w:numPr>
          <w:ilvl w:val="0"/>
          <w:numId w:val="3"/>
        </w:numPr>
        <w:spacing w:after="90" w:line="290"/>
      </w:pPr>
      <w:r>
        <w:rPr>
          <w:color w:val="202020"/>
          <w:sz w:val="21"/>
          <w:szCs w:val="21"/>
        </w:rPr>
        <w:t xml:space="preserve">Balancing payment deadline: 31 January, the same date as online filing.</w:t>
      </w:r>
    </w:p>
    <w:p>
      <w:pPr>
        <w:pStyle w:val="Heading3"/>
        <w:spacing w:after="100" w:before="200"/>
      </w:pPr>
      <w:r>
        <w:t xml:space="preserve">3.4.4 Payments on account</w:t>
      </w:r>
    </w:p>
    <w:p>
      <w:pPr>
        <w:spacing w:after="150" w:line="300"/>
      </w:pPr>
      <w:r>
        <w:rPr>
          <w:color w:val="202020"/>
          <w:sz w:val="21"/>
          <w:szCs w:val="21"/>
        </w:rPr>
        <w:t xml:space="preserve">Self-employed taxpayers above certain thresholds must pay toward next year's tax bill in advance: two payments, each 50% of the prior year's total Self Assessment liability, due 31 January (alongside that year's balancing payment) and 31 July.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8A1F2D" w:sz="4"/>
              <w:left w:val="single" w:color="8A1F2D" w:sz="4"/>
              <w:bottom w:val="single" w:color="8A1F2D" w:sz="4"/>
              <w:right w:val="single" w:color="8A1F2D" w:sz="4"/>
            </w:tcBorders>
            <w:shd w:fill="FCEEEE" w:color="auto" w:val="clear"/>
            <w:tcMar>
              <w:top w:type="dxa" w:w="140"/>
              <w:left w:type="dxa" w:w="200"/>
              <w:bottom w:type="dxa" w:w="140"/>
              <w:right w:type="dxa" w:w="200"/>
            </w:tcMar>
          </w:tcPr>
          <w:p>
            <w:pPr>
              <w:spacing w:after="60"/>
            </w:pPr>
            <w:r>
              <w:rPr>
                <w:b/>
                <w:bCs/>
                <w:color w:val="8A1F2D"/>
                <w:sz w:val="20"/>
                <w:szCs w:val="20"/>
              </w:rPr>
              <w:t xml:space="preserve">BUILD RULE 3.4.4</w:t>
            </w:r>
          </w:p>
          <w:p>
            <w:pPr>
              <w:spacing w:after="0"/>
            </w:pPr>
            <w:r>
              <w:rPr>
                <w:color w:val="202020"/>
                <w:sz w:val="20"/>
                <w:szCs w:val="20"/>
              </w:rPr>
              <w:t xml:space="preserve">Payments on account are NOT required if last year's total tax bill was under £1,000, or if more than 80% of tax owed was already collected at source (for example through a PAYE tax code). Build both exclusion checks, do not apply payments on account to every user by default.</w:t>
            </w:r>
          </w:p>
        </w:tc>
      </w:tr>
    </w:tbl>
    <w:p>
      <w:pPr>
        <w:pStyle w:val="Heading3"/>
        <w:spacing w:after="100" w:before="200"/>
      </w:pPr>
      <w:r>
        <w:t xml:space="preserve">3.4.5 Dividend tax: the calculation most director-shareholders actually need</w:t>
      </w:r>
    </w:p>
    <w:p>
      <w:pPr>
        <w:spacing w:after="150" w:line="300"/>
      </w:pPr>
      <w:r>
        <w:rPr>
          <w:color w:val="202020"/>
          <w:sz w:val="21"/>
          <w:szCs w:val="21"/>
        </w:rPr>
        <w:t xml:space="preserve">Most micro-entity director-shareholders pay themselves a low salary plus dividends specifically to minimise tax. If the platform serves company owners, as this one does, dividend tax is not optional functionality, it is close to the primary use case for the Income Tax side of the product, and it was completely absent from the original scope.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946"/>
      </w:tblGrid>
      <w:tr>
        <w:trPr>
          <w:tblHeader/>
        </w:trPr>
        <w:tc>
          <w:tcPr>
            <w:tcW w:type="dxa" w:w="2600"/>
            <w:shd w:fill="1F3A5F" w:color="auto" w:val="clear"/>
            <w:tcMar>
              <w:top w:type="dxa" w:w="80"/>
              <w:left w:type="dxa" w:w="100"/>
              <w:bottom w:type="dxa" w:w="80"/>
              <w:right w:type="dxa" w:w="100"/>
            </w:tcMar>
          </w:tcPr>
          <w:p>
            <w:pPr>
              <w:jc w:val="left"/>
            </w:pPr>
            <w:r>
              <w:rPr>
                <w:b/>
                <w:bCs/>
                <w:color w:val="FFFFFF"/>
                <w:sz w:val="18"/>
                <w:szCs w:val="18"/>
              </w:rPr>
              <w:t xml:space="preserve">Band</w:t>
            </w:r>
          </w:p>
        </w:tc>
        <w:tc>
          <w:tcPr>
            <w:tcW w:type="dxa" w:w="2200"/>
            <w:shd w:fill="1F3A5F" w:color="auto" w:val="clear"/>
            <w:tcMar>
              <w:top w:type="dxa" w:w="80"/>
              <w:left w:type="dxa" w:w="100"/>
              <w:bottom w:type="dxa" w:w="80"/>
              <w:right w:type="dxa" w:w="100"/>
            </w:tcMar>
          </w:tcPr>
          <w:p>
            <w:pPr>
              <w:jc w:val="left"/>
            </w:pPr>
            <w:r>
              <w:rPr>
                <w:b/>
                <w:bCs/>
                <w:color w:val="FFFFFF"/>
                <w:sz w:val="18"/>
                <w:szCs w:val="18"/>
              </w:rPr>
              <w:t xml:space="preserve">Rate, 2026/27</w:t>
            </w:r>
          </w:p>
        </w:tc>
        <w:tc>
          <w:tcPr>
            <w:tcW w:type="dxa" w:w="4946"/>
            <w:shd w:fill="1F3A5F" w:color="auto" w:val="clear"/>
            <w:tcMar>
              <w:top w:type="dxa" w:w="80"/>
              <w:left w:type="dxa" w:w="100"/>
              <w:bottom w:type="dxa" w:w="80"/>
              <w:right w:type="dxa" w:w="100"/>
            </w:tcMar>
          </w:tcPr>
          <w:p>
            <w:pPr>
              <w:jc w:val="left"/>
            </w:pPr>
            <w:r>
              <w:rPr>
                <w:b/>
                <w:bCs/>
                <w:color w:val="FFFFFF"/>
                <w:sz w:val="18"/>
                <w:szCs w:val="18"/>
              </w:rPr>
              <w:t xml:space="preserve">Note</w:t>
            </w:r>
          </w:p>
        </w:tc>
      </w:tr>
      <w:tr>
        <w:tc>
          <w:tcPr>
            <w:tcW w:type="dxa" w:w="2600"/>
            <w:tcMar>
              <w:top w:type="dxa" w:w="80"/>
              <w:left w:type="dxa" w:w="100"/>
              <w:bottom w:type="dxa" w:w="80"/>
              <w:right w:type="dxa" w:w="100"/>
            </w:tcMar>
          </w:tcPr>
          <w:p>
            <w:pPr>
              <w:jc w:val="left"/>
            </w:pPr>
            <w:r>
              <w:rPr>
                <w:b w:val="false"/>
                <w:bCs w:val="false"/>
                <w:color w:val="202020"/>
                <w:sz w:val="18"/>
                <w:szCs w:val="18"/>
              </w:rPr>
              <w:t xml:space="preserve">Dividend allowance</w:t>
            </w:r>
          </w:p>
        </w:tc>
        <w:tc>
          <w:tcPr>
            <w:tcW w:type="dxa" w:w="2200"/>
            <w:tcMar>
              <w:top w:type="dxa" w:w="80"/>
              <w:left w:type="dxa" w:w="100"/>
              <w:bottom w:type="dxa" w:w="80"/>
              <w:right w:type="dxa" w:w="100"/>
            </w:tcMar>
          </w:tcPr>
          <w:p>
            <w:pPr>
              <w:jc w:val="left"/>
            </w:pPr>
            <w:r>
              <w:rPr>
                <w:b w:val="false"/>
                <w:bCs w:val="false"/>
                <w:color w:val="202020"/>
                <w:sz w:val="18"/>
                <w:szCs w:val="18"/>
              </w:rPr>
              <w:t xml:space="preserve">0%</w:t>
            </w:r>
          </w:p>
        </w:tc>
        <w:tc>
          <w:tcPr>
            <w:tcW w:type="dxa" w:w="4946"/>
            <w:tcMar>
              <w:top w:type="dxa" w:w="80"/>
              <w:left w:type="dxa" w:w="100"/>
              <w:bottom w:type="dxa" w:w="80"/>
              <w:right w:type="dxa" w:w="100"/>
            </w:tcMar>
          </w:tcPr>
          <w:p>
            <w:pPr>
              <w:jc w:val="left"/>
            </w:pPr>
            <w:r>
              <w:rPr>
                <w:b w:val="false"/>
                <w:bCs w:val="false"/>
                <w:color w:val="202020"/>
                <w:sz w:val="18"/>
                <w:szCs w:val="18"/>
              </w:rPr>
              <w:t xml:space="preserve">First £500 of dividend income each tax year. This is a 0% band that still occupies space within whichever tax band the dividend falls in, it is not tax-free income sitting outside the bands</w:t>
            </w:r>
          </w:p>
        </w:tc>
      </w:tr>
      <w:tr>
        <w:tc>
          <w:tcPr>
            <w:tcW w:type="dxa" w:w="2600"/>
            <w:shd w:fill="F2F2F2" w:color="auto" w:val="clear"/>
            <w:tcMar>
              <w:top w:type="dxa" w:w="80"/>
              <w:left w:type="dxa" w:w="100"/>
              <w:bottom w:type="dxa" w:w="80"/>
              <w:right w:type="dxa" w:w="100"/>
            </w:tcMar>
          </w:tcPr>
          <w:p>
            <w:pPr>
              <w:jc w:val="left"/>
            </w:pPr>
            <w:r>
              <w:rPr>
                <w:b w:val="false"/>
                <w:bCs w:val="false"/>
                <w:color w:val="202020"/>
                <w:sz w:val="18"/>
                <w:szCs w:val="18"/>
              </w:rPr>
              <w:t xml:space="preserve">Basic rate</w:t>
            </w:r>
          </w:p>
        </w:tc>
        <w:tc>
          <w:tcPr>
            <w:tcW w:type="dxa" w:w="2200"/>
            <w:shd w:fill="F2F2F2" w:color="auto" w:val="clear"/>
            <w:tcMar>
              <w:top w:type="dxa" w:w="80"/>
              <w:left w:type="dxa" w:w="100"/>
              <w:bottom w:type="dxa" w:w="80"/>
              <w:right w:type="dxa" w:w="100"/>
            </w:tcMar>
          </w:tcPr>
          <w:p>
            <w:pPr>
              <w:jc w:val="left"/>
            </w:pPr>
            <w:r>
              <w:rPr>
                <w:b w:val="false"/>
                <w:bCs w:val="false"/>
                <w:color w:val="202020"/>
                <w:sz w:val="18"/>
                <w:szCs w:val="18"/>
              </w:rPr>
              <w:t xml:space="preserve">10.75%</w:t>
            </w:r>
          </w:p>
        </w:tc>
        <w:tc>
          <w:tcPr>
            <w:tcW w:type="dxa" w:w="4946"/>
            <w:shd w:fill="F2F2F2" w:color="auto" w:val="clear"/>
            <w:tcMar>
              <w:top w:type="dxa" w:w="80"/>
              <w:left w:type="dxa" w:w="100"/>
              <w:bottom w:type="dxa" w:w="80"/>
              <w:right w:type="dxa" w:w="100"/>
            </w:tcMar>
          </w:tcPr>
          <w:p>
            <w:pPr>
              <w:jc w:val="left"/>
            </w:pPr>
            <w:r>
              <w:rPr>
                <w:b w:val="false"/>
                <w:bCs w:val="false"/>
                <w:color w:val="202020"/>
                <w:sz w:val="18"/>
                <w:szCs w:val="18"/>
              </w:rPr>
              <w:t xml:space="preserve">INCREASED from 8.75% for 2026/27, Autumn Budget 2025</w:t>
            </w:r>
          </w:p>
        </w:tc>
      </w:tr>
      <w:tr>
        <w:tc>
          <w:tcPr>
            <w:tcW w:type="dxa" w:w="2600"/>
            <w:tcMar>
              <w:top w:type="dxa" w:w="80"/>
              <w:left w:type="dxa" w:w="100"/>
              <w:bottom w:type="dxa" w:w="80"/>
              <w:right w:type="dxa" w:w="100"/>
            </w:tcMar>
          </w:tcPr>
          <w:p>
            <w:pPr>
              <w:jc w:val="left"/>
            </w:pPr>
            <w:r>
              <w:rPr>
                <w:b w:val="false"/>
                <w:bCs w:val="false"/>
                <w:color w:val="202020"/>
                <w:sz w:val="18"/>
                <w:szCs w:val="18"/>
              </w:rPr>
              <w:t xml:space="preserve">Higher rate</w:t>
            </w:r>
          </w:p>
        </w:tc>
        <w:tc>
          <w:tcPr>
            <w:tcW w:type="dxa" w:w="2200"/>
            <w:tcMar>
              <w:top w:type="dxa" w:w="80"/>
              <w:left w:type="dxa" w:w="100"/>
              <w:bottom w:type="dxa" w:w="80"/>
              <w:right w:type="dxa" w:w="100"/>
            </w:tcMar>
          </w:tcPr>
          <w:p>
            <w:pPr>
              <w:jc w:val="left"/>
            </w:pPr>
            <w:r>
              <w:rPr>
                <w:b w:val="false"/>
                <w:bCs w:val="false"/>
                <w:color w:val="202020"/>
                <w:sz w:val="18"/>
                <w:szCs w:val="18"/>
              </w:rPr>
              <w:t xml:space="preserve">35.75%</w:t>
            </w:r>
          </w:p>
        </w:tc>
        <w:tc>
          <w:tcPr>
            <w:tcW w:type="dxa" w:w="4946"/>
            <w:tcMar>
              <w:top w:type="dxa" w:w="80"/>
              <w:left w:type="dxa" w:w="100"/>
              <w:bottom w:type="dxa" w:w="80"/>
              <w:right w:type="dxa" w:w="100"/>
            </w:tcMar>
          </w:tcPr>
          <w:p>
            <w:pPr>
              <w:jc w:val="left"/>
            </w:pPr>
            <w:r>
              <w:rPr>
                <w:b w:val="false"/>
                <w:bCs w:val="false"/>
                <w:color w:val="202020"/>
                <w:sz w:val="18"/>
                <w:szCs w:val="18"/>
              </w:rPr>
              <w:t xml:space="preserve">INCREASED from 33.75% for 2026/27, Autumn Budget 2025</w:t>
            </w:r>
          </w:p>
        </w:tc>
      </w:tr>
      <w:tr>
        <w:tc>
          <w:tcPr>
            <w:tcW w:type="dxa" w:w="2600"/>
            <w:shd w:fill="F2F2F2" w:color="auto" w:val="clear"/>
            <w:tcMar>
              <w:top w:type="dxa" w:w="80"/>
              <w:left w:type="dxa" w:w="100"/>
              <w:bottom w:type="dxa" w:w="80"/>
              <w:right w:type="dxa" w:w="100"/>
            </w:tcMar>
          </w:tcPr>
          <w:p>
            <w:pPr>
              <w:jc w:val="left"/>
            </w:pPr>
            <w:r>
              <w:rPr>
                <w:b w:val="false"/>
                <w:bCs w:val="false"/>
                <w:color w:val="202020"/>
                <w:sz w:val="18"/>
                <w:szCs w:val="18"/>
              </w:rPr>
              <w:t xml:space="preserve">Additional rate</w:t>
            </w:r>
          </w:p>
        </w:tc>
        <w:tc>
          <w:tcPr>
            <w:tcW w:type="dxa" w:w="2200"/>
            <w:shd w:fill="F2F2F2" w:color="auto" w:val="clear"/>
            <w:tcMar>
              <w:top w:type="dxa" w:w="80"/>
              <w:left w:type="dxa" w:w="100"/>
              <w:bottom w:type="dxa" w:w="80"/>
              <w:right w:type="dxa" w:w="100"/>
            </w:tcMar>
          </w:tcPr>
          <w:p>
            <w:pPr>
              <w:jc w:val="left"/>
            </w:pPr>
            <w:r>
              <w:rPr>
                <w:b w:val="false"/>
                <w:bCs w:val="false"/>
                <w:color w:val="202020"/>
                <w:sz w:val="18"/>
                <w:szCs w:val="18"/>
              </w:rPr>
              <w:t xml:space="preserve">39.35%</w:t>
            </w:r>
          </w:p>
        </w:tc>
        <w:tc>
          <w:tcPr>
            <w:tcW w:type="dxa" w:w="4946"/>
            <w:shd w:fill="F2F2F2" w:color="auto" w:val="clear"/>
            <w:tcMar>
              <w:top w:type="dxa" w:w="80"/>
              <w:left w:type="dxa" w:w="100"/>
              <w:bottom w:type="dxa" w:w="80"/>
              <w:right w:type="dxa" w:w="100"/>
            </w:tcMar>
          </w:tcPr>
          <w:p>
            <w:pPr>
              <w:jc w:val="left"/>
            </w:pPr>
            <w:r>
              <w:rPr>
                <w:b w:val="false"/>
                <w:bCs w:val="false"/>
                <w:color w:val="202020"/>
                <w:sz w:val="18"/>
                <w:szCs w:val="18"/>
              </w:rPr>
              <w:t xml:space="preserve">Unchanged</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8A1F2D" w:sz="4"/>
              <w:left w:val="single" w:color="8A1F2D" w:sz="4"/>
              <w:bottom w:val="single" w:color="8A1F2D" w:sz="4"/>
              <w:right w:val="single" w:color="8A1F2D" w:sz="4"/>
            </w:tcBorders>
            <w:shd w:fill="FCEEEE" w:color="auto" w:val="clear"/>
            <w:tcMar>
              <w:top w:type="dxa" w:w="140"/>
              <w:left w:type="dxa" w:w="200"/>
              <w:bottom w:type="dxa" w:w="140"/>
              <w:right w:type="dxa" w:w="200"/>
            </w:tcMar>
          </w:tcPr>
          <w:p>
            <w:pPr>
              <w:spacing w:after="60"/>
            </w:pPr>
            <w:r>
              <w:rPr>
                <w:b/>
                <w:bCs/>
                <w:color w:val="8A1F2D"/>
                <w:sz w:val="20"/>
                <w:szCs w:val="20"/>
              </w:rPr>
              <w:t xml:space="preserve">BUILD RULE 3.4.5a, ordering rule</w:t>
            </w:r>
          </w:p>
          <w:p>
            <w:pPr>
              <w:spacing w:after="0"/>
            </w:pPr>
            <w:r>
              <w:rPr>
                <w:color w:val="202020"/>
                <w:sz w:val="20"/>
                <w:szCs w:val="20"/>
              </w:rPr>
              <w:t xml:space="preserve">Dividends are always treated as the top slice of income, stacked above salary, pensions, and other non-savings income. Fill the Personal Allowance and each band with salary/other income first, then stack dividends on top into whatever band space remains. This must be modelled as a sequential fill, not two independent calculations added together.</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shd w:fill="1F2937" w:color="auto" w:val="clear"/>
            <w:tcMar>
              <w:top w:type="dxa" w:w="160"/>
              <w:left w:type="dxa" w:w="200"/>
              <w:bottom w:type="dxa" w:w="160"/>
              <w:right w:type="dxa" w:w="200"/>
            </w:tcMar>
          </w:tcPr>
          <w:p>
            <w:pPr>
              <w:spacing w:after="40"/>
            </w:pPr>
            <w:r>
              <w:rPr>
                <w:rFonts w:ascii="Consolas" w:cs="Consolas" w:eastAsia="Consolas" w:hAnsi="Consolas"/>
                <w:color w:val="E5E7EB"/>
                <w:sz w:val="19"/>
                <w:szCs w:val="19"/>
              </w:rPr>
              <w:t xml:space="preserve">Example: director salary £12,570 (exactly at the Personal Allowance) + dividends £40,000</w:t>
            </w:r>
          </w:p>
          <w:p>
            <w:pPr>
              <w:spacing w:after="40"/>
            </w:pPr>
            <w:r>
              <w:rPr>
                <w:rFonts w:ascii="Consolas" w:cs="Consolas" w:eastAsia="Consolas" w:hAnsi="Consolas"/>
                <w:color w:val="E5E7EB"/>
                <w:sz w:val="19"/>
                <w:szCs w:val="19"/>
              </w:rPr>
              <w:t xml:space="preserve"/>
            </w:r>
          </w:p>
          <w:p>
            <w:pPr>
              <w:spacing w:after="40"/>
            </w:pPr>
            <w:r>
              <w:rPr>
                <w:rFonts w:ascii="Consolas" w:cs="Consolas" w:eastAsia="Consolas" w:hAnsi="Consolas"/>
                <w:color w:val="E5E7EB"/>
                <w:sz w:val="19"/>
                <w:szCs w:val="19"/>
              </w:rPr>
              <w:t xml:space="preserve">Step 1: Personal Allowance (£12,570) fully used by salary. Income tax on salary = £0.</w:t>
            </w:r>
          </w:p>
          <w:p>
            <w:pPr>
              <w:spacing w:after="40"/>
            </w:pPr>
            <w:r>
              <w:rPr>
                <w:rFonts w:ascii="Consolas" w:cs="Consolas" w:eastAsia="Consolas" w:hAnsi="Consolas"/>
                <w:color w:val="E5E7EB"/>
                <w:sz w:val="19"/>
                <w:szCs w:val="19"/>
              </w:rPr>
              <w:t xml:space="preserve">Step 2: Dividends stack on top, from £12,571 to £52,570 on the combined income scale.</w:t>
            </w:r>
          </w:p>
          <w:p>
            <w:pPr>
              <w:spacing w:after="40"/>
            </w:pPr>
            <w:r>
              <w:rPr>
                <w:rFonts w:ascii="Consolas" w:cs="Consolas" w:eastAsia="Consolas" w:hAnsi="Consolas"/>
                <w:color w:val="E5E7EB"/>
                <w:sz w:val="19"/>
                <w:szCs w:val="19"/>
              </w:rPr>
              <w:t xml:space="preserve">Step 3: Dividend allowance, first £500, taxed at 0%                    = £0.00</w:t>
            </w:r>
          </w:p>
          <w:p>
            <w:pPr>
              <w:spacing w:after="40"/>
            </w:pPr>
            <w:r>
              <w:rPr>
                <w:rFonts w:ascii="Consolas" w:cs="Consolas" w:eastAsia="Consolas" w:hAnsi="Consolas"/>
                <w:color w:val="E5E7EB"/>
                <w:sz w:val="19"/>
                <w:szCs w:val="19"/>
              </w:rPr>
              <w:t xml:space="preserve">Step 4: Remaining dividends to allocate                                = £39,500</w:t>
            </w:r>
          </w:p>
          <w:p>
            <w:pPr>
              <w:spacing w:after="40"/>
            </w:pPr>
            <w:r>
              <w:rPr>
                <w:rFonts w:ascii="Consolas" w:cs="Consolas" w:eastAsia="Consolas" w:hAnsi="Consolas"/>
                <w:color w:val="E5E7EB"/>
                <w:sz w:val="19"/>
                <w:szCs w:val="19"/>
              </w:rPr>
              <w:t xml:space="preserve">Step 5: Basic rate band space left (£37,700 width, less £500 used)     = £37,200</w:t>
            </w:r>
          </w:p>
          <w:p>
            <w:pPr>
              <w:spacing w:after="40"/>
            </w:pPr>
            <w:r>
              <w:rPr>
                <w:rFonts w:ascii="Consolas" w:cs="Consolas" w:eastAsia="Consolas" w:hAnsi="Consolas"/>
                <w:color w:val="E5E7EB"/>
                <w:sz w:val="19"/>
                <w:szCs w:val="19"/>
              </w:rPr>
              <w:t xml:space="preserve">         Taxed at basic dividend rate: £37,200 x 10.75%                = £3,999.00</w:t>
            </w:r>
          </w:p>
          <w:p>
            <w:pPr>
              <w:spacing w:after="40"/>
            </w:pPr>
            <w:r>
              <w:rPr>
                <w:rFonts w:ascii="Consolas" w:cs="Consolas" w:eastAsia="Consolas" w:hAnsi="Consolas"/>
                <w:color w:val="E5E7EB"/>
                <w:sz w:val="19"/>
                <w:szCs w:val="19"/>
              </w:rPr>
              <w:t xml:space="preserve">Step 6: Remainder spills into higher rate: £39,500 - £37,200           =  £2,300</w:t>
            </w:r>
          </w:p>
          <w:p>
            <w:pPr>
              <w:spacing w:after="40"/>
            </w:pPr>
            <w:r>
              <w:rPr>
                <w:rFonts w:ascii="Consolas" w:cs="Consolas" w:eastAsia="Consolas" w:hAnsi="Consolas"/>
                <w:color w:val="E5E7EB"/>
                <w:sz w:val="19"/>
                <w:szCs w:val="19"/>
              </w:rPr>
              <w:t xml:space="preserve">         Taxed at higher dividend rate: £2,300 x 35.75%                =   £822.25</w:t>
            </w:r>
          </w:p>
          <w:p>
            <w:pPr>
              <w:spacing w:after="40"/>
            </w:pPr>
            <w:r>
              <w:rPr>
                <w:rFonts w:ascii="Consolas" w:cs="Consolas" w:eastAsia="Consolas" w:hAnsi="Consolas"/>
                <w:color w:val="E5E7EB"/>
                <w:sz w:val="19"/>
                <w:szCs w:val="19"/>
              </w:rPr>
              <w:t xml:space="preserve"/>
            </w:r>
          </w:p>
          <w:p>
            <w:pPr>
              <w:spacing w:after="40"/>
            </w:pPr>
            <w:r>
              <w:rPr>
                <w:rFonts w:ascii="Consolas" w:cs="Consolas" w:eastAsia="Consolas" w:hAnsi="Consolas"/>
                <w:color w:val="E5E7EB"/>
                <w:sz w:val="19"/>
                <w:szCs w:val="19"/>
              </w:rPr>
              <w:t xml:space="preserve">TOTAL DIVIDEND TAX DUE = £3,999.00 + £822.25 = £4,821.25</w:t>
            </w:r>
          </w:p>
          <w:p>
            <w:pPr>
              <w:spacing w:after="40"/>
            </w:pPr>
            <w:r>
              <w:rPr>
                <w:rFonts w:ascii="Consolas" w:cs="Consolas" w:eastAsia="Consolas" w:hAnsi="Consolas"/>
                <w:color w:val="E5E7EB"/>
                <w:sz w:val="19"/>
                <w:szCs w:val="19"/>
              </w:rPr>
              <w:t xml:space="preserve">TOTAL INCOME TAX (salary + dividends) = £0.00 + £4,821.25 = £4,821.25</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8A1F2D" w:sz="4"/>
              <w:left w:val="single" w:color="8A1F2D" w:sz="4"/>
              <w:bottom w:val="single" w:color="8A1F2D" w:sz="4"/>
              <w:right w:val="single" w:color="8A1F2D" w:sz="4"/>
            </w:tcBorders>
            <w:shd w:fill="FCEEEE" w:color="auto" w:val="clear"/>
            <w:tcMar>
              <w:top w:type="dxa" w:w="140"/>
              <w:left w:type="dxa" w:w="200"/>
              <w:bottom w:type="dxa" w:w="140"/>
              <w:right w:type="dxa" w:w="200"/>
            </w:tcMar>
          </w:tcPr>
          <w:p>
            <w:pPr>
              <w:spacing w:after="60"/>
            </w:pPr>
            <w:r>
              <w:rPr>
                <w:b/>
                <w:bCs/>
                <w:color w:val="8A1F2D"/>
                <w:sz w:val="20"/>
                <w:szCs w:val="20"/>
              </w:rPr>
              <w:t xml:space="preserve">BUILD RULE 3.4.5b</w:t>
            </w:r>
          </w:p>
          <w:p>
            <w:pPr>
              <w:spacing w:after="0"/>
            </w:pPr>
            <w:r>
              <w:rPr>
                <w:color w:val="202020"/>
                <w:sz w:val="20"/>
                <w:szCs w:val="20"/>
              </w:rPr>
              <w:t xml:space="preserve">The dividend allowance must be modelled as a 0% band consuming space within the ordinary bands, not as a deduction from total dividend income before banding. Getting this wrong under- or over-taxes any case where salary plus the £500 allowance doesn't land neatly on a band boundary, which is most cases.</w:t>
            </w:r>
          </w:p>
        </w:tc>
      </w:tr>
    </w:tbl>
    <w:p>
      <w:pPr>
        <w:pStyle w:val="Heading3"/>
        <w:spacing w:after="100" w:before="200"/>
      </w:pPr>
      <w:r>
        <w:t xml:space="preserve">3.4.6 Trading allowance (sole traders and side-income users)</w:t>
      </w:r>
    </w:p>
    <w:p>
      <w:pPr>
        <w:spacing w:after="150" w:line="300"/>
      </w:pPr>
      <w:r>
        <w:rPr>
          <w:color w:val="202020"/>
          <w:sz w:val="21"/>
          <w:szCs w:val="21"/>
        </w:rPr>
        <w:t xml:space="preserve">A flat £1,000-per-tax-year allowance for self-employed/sole trader users, unchanged since 2017. Two uses, and they are mutually exclusive with claiming actual expenses, never both.</w:t>
      </w:r>
    </w:p>
    <w:p>
      <w:pPr>
        <w:pStyle w:val="ListParagraph"/>
        <w:numPr>
          <w:ilvl w:val="0"/>
          <w:numId w:val="3"/>
        </w:numPr>
        <w:spacing w:after="90" w:line="290"/>
      </w:pPr>
      <w:r>
        <w:rPr>
          <w:color w:val="202020"/>
          <w:sz w:val="21"/>
          <w:szCs w:val="21"/>
        </w:rPr>
        <w:t xml:space="preserve">Full relief: if gross trading income is £1,000 or less for the year, the income is fully exempt and doesn't need to be reported at all for this purpose.</w:t>
      </w:r>
    </w:p>
    <w:p>
      <w:pPr>
        <w:pStyle w:val="ListParagraph"/>
        <w:numPr>
          <w:ilvl w:val="0"/>
          <w:numId w:val="3"/>
        </w:numPr>
        <w:spacing w:after="90" w:line="290"/>
      </w:pPr>
      <w:r>
        <w:rPr>
          <w:color w:val="202020"/>
          <w:sz w:val="21"/>
          <w:szCs w:val="21"/>
        </w:rPr>
        <w:t xml:space="preserve">Partial relief: if gross trading income exceeds £1,000, deduct the flat £1,000 instead of actual allowable expenses, only worthwhile if actual expenses are below £1,000.</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shd w:fill="1F2937" w:color="auto" w:val="clear"/>
            <w:tcMar>
              <w:top w:type="dxa" w:w="160"/>
              <w:left w:type="dxa" w:w="200"/>
              <w:bottom w:type="dxa" w:w="160"/>
              <w:right w:type="dxa" w:w="200"/>
            </w:tcMar>
          </w:tcPr>
          <w:p>
            <w:pPr>
              <w:spacing w:after="40"/>
            </w:pPr>
            <w:r>
              <w:rPr>
                <w:rFonts w:ascii="Consolas" w:cs="Consolas" w:eastAsia="Consolas" w:hAnsi="Consolas"/>
                <w:color w:val="E5E7EB"/>
                <w:sz w:val="19"/>
                <w:szCs w:val="19"/>
              </w:rPr>
              <w:t xml:space="preserve">Example: sole trader, gross trading income £8,000, actual allowable expenses £1,500</w:t>
            </w:r>
          </w:p>
          <w:p>
            <w:pPr>
              <w:spacing w:after="40"/>
            </w:pPr>
            <w:r>
              <w:rPr>
                <w:rFonts w:ascii="Consolas" w:cs="Consolas" w:eastAsia="Consolas" w:hAnsi="Consolas"/>
                <w:color w:val="E5E7EB"/>
                <w:sz w:val="19"/>
                <w:szCs w:val="19"/>
              </w:rPr>
              <w:t xml:space="preserve"/>
            </w:r>
          </w:p>
          <w:p>
            <w:pPr>
              <w:spacing w:after="40"/>
            </w:pPr>
            <w:r>
              <w:rPr>
                <w:rFonts w:ascii="Consolas" w:cs="Consolas" w:eastAsia="Consolas" w:hAnsi="Consolas"/>
                <w:color w:val="E5E7EB"/>
                <w:sz w:val="19"/>
                <w:szCs w:val="19"/>
              </w:rPr>
              <w:t xml:space="preserve">Using actual expenses:    £8,000 - £1,500 = £6,500 taxable profit</w:t>
            </w:r>
          </w:p>
          <w:p>
            <w:pPr>
              <w:spacing w:after="40"/>
            </w:pPr>
            <w:r>
              <w:rPr>
                <w:rFonts w:ascii="Consolas" w:cs="Consolas" w:eastAsia="Consolas" w:hAnsi="Consolas"/>
                <w:color w:val="E5E7EB"/>
                <w:sz w:val="19"/>
                <w:szCs w:val="19"/>
              </w:rPr>
              <w:t xml:space="preserve">Using Trading Allowance:  £8,000 - £1,000 = £7,000 taxable profit</w:t>
            </w:r>
          </w:p>
          <w:p>
            <w:pPr>
              <w:spacing w:after="40"/>
            </w:pPr>
            <w:r>
              <w:rPr>
                <w:rFonts w:ascii="Consolas" w:cs="Consolas" w:eastAsia="Consolas" w:hAnsi="Consolas"/>
                <w:color w:val="E5E7EB"/>
                <w:sz w:val="19"/>
                <w:szCs w:val="19"/>
              </w:rPr>
              <w:t xml:space="preserve"/>
            </w:r>
          </w:p>
          <w:p>
            <w:pPr>
              <w:spacing w:after="40"/>
            </w:pPr>
            <w:r>
              <w:rPr>
                <w:rFonts w:ascii="Consolas" w:cs="Consolas" w:eastAsia="Consolas" w:hAnsi="Consolas"/>
                <w:color w:val="E5E7EB"/>
                <w:sz w:val="19"/>
                <w:szCs w:val="19"/>
              </w:rPr>
              <w:t xml:space="preserve">Actual expenses is £500 better here. The platform should calculate both and recommend</w:t>
            </w:r>
          </w:p>
          <w:p>
            <w:pPr>
              <w:spacing w:after="40"/>
            </w:pPr>
            <w:r>
              <w:rPr>
                <w:rFonts w:ascii="Consolas" w:cs="Consolas" w:eastAsia="Consolas" w:hAnsi="Consolas"/>
                <w:color w:val="E5E7EB"/>
                <w:sz w:val="19"/>
                <w:szCs w:val="19"/>
              </w:rPr>
              <w:t xml:space="preserve">whichever produces the lower taxable profit, HMRC does not do this automatically.</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8A1F2D" w:sz="4"/>
              <w:left w:val="single" w:color="8A1F2D" w:sz="4"/>
              <w:bottom w:val="single" w:color="8A1F2D" w:sz="4"/>
              <w:right w:val="single" w:color="8A1F2D" w:sz="4"/>
            </w:tcBorders>
            <w:shd w:fill="FCEEEE" w:color="auto" w:val="clear"/>
            <w:tcMar>
              <w:top w:type="dxa" w:w="140"/>
              <w:left w:type="dxa" w:w="200"/>
              <w:bottom w:type="dxa" w:w="140"/>
              <w:right w:type="dxa" w:w="200"/>
            </w:tcMar>
          </w:tcPr>
          <w:p>
            <w:pPr>
              <w:spacing w:after="60"/>
            </w:pPr>
            <w:r>
              <w:rPr>
                <w:b/>
                <w:bCs/>
                <w:color w:val="8A1F2D"/>
                <w:sz w:val="20"/>
                <w:szCs w:val="20"/>
              </w:rPr>
              <w:t xml:space="preserve">BUILD RULE 3.4.6</w:t>
            </w:r>
          </w:p>
          <w:p>
            <w:pPr>
              <w:spacing w:after="0"/>
            </w:pPr>
            <w:r>
              <w:rPr>
                <w:color w:val="202020"/>
                <w:sz w:val="20"/>
                <w:szCs w:val="20"/>
              </w:rPr>
              <w:t xml:space="preserve">Build this as an automatic comparison, not a manual user choice buried in a help article. Calculate taxable profit both ways behind the scenes and default the user into whichever is lower, with a one-line explanation of why.</w:t>
            </w:r>
          </w:p>
        </w:tc>
      </w:tr>
    </w:tbl>
    <w:p>
      <w:pPr>
        <w:pStyle w:val="Heading3"/>
        <w:spacing w:after="100" w:before="200"/>
      </w:pPr>
      <w:r>
        <w:t xml:space="preserve">3.4.7 Director payroll: Class 1 NIC, the threshold gap that catches non-specialists out</w:t>
      </w:r>
    </w:p>
    <w:p>
      <w:pPr>
        <w:spacing w:after="150" w:line="300"/>
      </w:pPr>
      <w:r>
        <w:rPr>
          <w:color w:val="202020"/>
          <w:sz w:val="21"/>
          <w:szCs w:val="21"/>
        </w:rPr>
        <w:t xml:space="preserve">If the platform lets a director run payroll through it (paying themselves a salary rather than only dividends), National Insurance has a counter-intuitive trap: the employee and employer NIC thresholds are not the same figure.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900"/>
        <w:gridCol w:w="2200"/>
        <w:gridCol w:w="4646"/>
      </w:tblGrid>
      <w:tr>
        <w:trPr>
          <w:tblHeader/>
        </w:trPr>
        <w:tc>
          <w:tcPr>
            <w:tcW w:type="dxa" w:w="2900"/>
            <w:shd w:fill="1F3A5F" w:color="auto" w:val="clear"/>
            <w:tcMar>
              <w:top w:type="dxa" w:w="80"/>
              <w:left w:type="dxa" w:w="100"/>
              <w:bottom w:type="dxa" w:w="80"/>
              <w:right w:type="dxa" w:w="100"/>
            </w:tcMar>
          </w:tcPr>
          <w:p>
            <w:pPr>
              <w:jc w:val="left"/>
            </w:pPr>
            <w:r>
              <w:rPr>
                <w:b/>
                <w:bCs/>
                <w:color w:val="FFFFFF"/>
                <w:sz w:val="18"/>
                <w:szCs w:val="18"/>
              </w:rPr>
              <w:t xml:space="preserve">Threshold/rate</w:t>
            </w:r>
          </w:p>
        </w:tc>
        <w:tc>
          <w:tcPr>
            <w:tcW w:type="dxa" w:w="2200"/>
            <w:shd w:fill="1F3A5F" w:color="auto" w:val="clear"/>
            <w:tcMar>
              <w:top w:type="dxa" w:w="80"/>
              <w:left w:type="dxa" w:w="100"/>
              <w:bottom w:type="dxa" w:w="80"/>
              <w:right w:type="dxa" w:w="100"/>
            </w:tcMar>
          </w:tcPr>
          <w:p>
            <w:pPr>
              <w:jc w:val="left"/>
            </w:pPr>
            <w:r>
              <w:rPr>
                <w:b/>
                <w:bCs/>
                <w:color w:val="FFFFFF"/>
                <w:sz w:val="18"/>
                <w:szCs w:val="18"/>
              </w:rPr>
              <w:t xml:space="preserve">2026/27 figure</w:t>
            </w:r>
          </w:p>
        </w:tc>
        <w:tc>
          <w:tcPr>
            <w:tcW w:type="dxa" w:w="4646"/>
            <w:shd w:fill="1F3A5F" w:color="auto" w:val="clear"/>
            <w:tcMar>
              <w:top w:type="dxa" w:w="80"/>
              <w:left w:type="dxa" w:w="100"/>
              <w:bottom w:type="dxa" w:w="80"/>
              <w:right w:type="dxa" w:w="100"/>
            </w:tcMar>
          </w:tcPr>
          <w:p>
            <w:pPr>
              <w:jc w:val="left"/>
            </w:pPr>
            <w:r>
              <w:rPr>
                <w:b/>
                <w:bCs/>
                <w:color w:val="FFFFFF"/>
                <w:sz w:val="18"/>
                <w:szCs w:val="18"/>
              </w:rPr>
              <w:t xml:space="preserve">Note</w:t>
            </w:r>
          </w:p>
        </w:tc>
      </w:tr>
      <w:tr>
        <w:tc>
          <w:tcPr>
            <w:tcW w:type="dxa" w:w="2900"/>
            <w:tcMar>
              <w:top w:type="dxa" w:w="80"/>
              <w:left w:type="dxa" w:w="100"/>
              <w:bottom w:type="dxa" w:w="80"/>
              <w:right w:type="dxa" w:w="100"/>
            </w:tcMar>
          </w:tcPr>
          <w:p>
            <w:pPr>
              <w:jc w:val="left"/>
            </w:pPr>
            <w:r>
              <w:rPr>
                <w:b w:val="false"/>
                <w:bCs w:val="false"/>
                <w:color w:val="202020"/>
                <w:sz w:val="18"/>
                <w:szCs w:val="18"/>
              </w:rPr>
              <w:t xml:space="preserve">Primary Threshold (employee NIC starts)</w:t>
            </w:r>
          </w:p>
        </w:tc>
        <w:tc>
          <w:tcPr>
            <w:tcW w:type="dxa" w:w="2200"/>
            <w:tcMar>
              <w:top w:type="dxa" w:w="80"/>
              <w:left w:type="dxa" w:w="100"/>
              <w:bottom w:type="dxa" w:w="80"/>
              <w:right w:type="dxa" w:w="100"/>
            </w:tcMar>
          </w:tcPr>
          <w:p>
            <w:pPr>
              <w:jc w:val="left"/>
            </w:pPr>
            <w:r>
              <w:rPr>
                <w:b w:val="false"/>
                <w:bCs w:val="false"/>
                <w:color w:val="202020"/>
                <w:sz w:val="18"/>
                <w:szCs w:val="18"/>
              </w:rPr>
              <w:t xml:space="preserve">£12,570/year</w:t>
            </w:r>
          </w:p>
        </w:tc>
        <w:tc>
          <w:tcPr>
            <w:tcW w:type="dxa" w:w="4646"/>
            <w:tcMar>
              <w:top w:type="dxa" w:w="80"/>
              <w:left w:type="dxa" w:w="100"/>
              <w:bottom w:type="dxa" w:w="80"/>
              <w:right w:type="dxa" w:w="100"/>
            </w:tcMar>
          </w:tcPr>
          <w:p>
            <w:pPr>
              <w:jc w:val="left"/>
            </w:pPr>
            <w:r>
              <w:rPr>
                <w:b w:val="false"/>
                <w:bCs w:val="false"/>
                <w:color w:val="202020"/>
                <w:sz w:val="18"/>
                <w:szCs w:val="18"/>
              </w:rPr>
              <w:t xml:space="preserve">Aligned with the income tax Personal Allowance, this is why £12,570 is the common "tax-efficient" salary figure</w:t>
            </w:r>
          </w:p>
        </w:tc>
      </w:tr>
      <w:tr>
        <w:tc>
          <w:tcPr>
            <w:tcW w:type="dxa" w:w="2900"/>
            <w:shd w:fill="F2F2F2" w:color="auto" w:val="clear"/>
            <w:tcMar>
              <w:top w:type="dxa" w:w="80"/>
              <w:left w:type="dxa" w:w="100"/>
              <w:bottom w:type="dxa" w:w="80"/>
              <w:right w:type="dxa" w:w="100"/>
            </w:tcMar>
          </w:tcPr>
          <w:p>
            <w:pPr>
              <w:jc w:val="left"/>
            </w:pPr>
            <w:r>
              <w:rPr>
                <w:b w:val="false"/>
                <w:bCs w:val="false"/>
                <w:color w:val="202020"/>
                <w:sz w:val="18"/>
                <w:szCs w:val="18"/>
              </w:rPr>
              <w:t xml:space="preserve">Secondary Threshold (employer NIC starts)</w:t>
            </w:r>
          </w:p>
        </w:tc>
        <w:tc>
          <w:tcPr>
            <w:tcW w:type="dxa" w:w="2200"/>
            <w:shd w:fill="F2F2F2" w:color="auto" w:val="clear"/>
            <w:tcMar>
              <w:top w:type="dxa" w:w="80"/>
              <w:left w:type="dxa" w:w="100"/>
              <w:bottom w:type="dxa" w:w="80"/>
              <w:right w:type="dxa" w:w="100"/>
            </w:tcMar>
          </w:tcPr>
          <w:p>
            <w:pPr>
              <w:jc w:val="left"/>
            </w:pPr>
            <w:r>
              <w:rPr>
                <w:b w:val="false"/>
                <w:bCs w:val="false"/>
                <w:color w:val="202020"/>
                <w:sz w:val="18"/>
                <w:szCs w:val="18"/>
              </w:rPr>
              <w:t xml:space="preserve">£5,000/year</w:t>
            </w:r>
          </w:p>
        </w:tc>
        <w:tc>
          <w:tcPr>
            <w:tcW w:type="dxa" w:w="4646"/>
            <w:shd w:fill="F2F2F2" w:color="auto" w:val="clear"/>
            <w:tcMar>
              <w:top w:type="dxa" w:w="80"/>
              <w:left w:type="dxa" w:w="100"/>
              <w:bottom w:type="dxa" w:w="80"/>
              <w:right w:type="dxa" w:w="100"/>
            </w:tcMar>
          </w:tcPr>
          <w:p>
            <w:pPr>
              <w:jc w:val="left"/>
            </w:pPr>
            <w:r>
              <w:rPr>
                <w:b w:val="false"/>
                <w:bCs w:val="false"/>
                <w:color w:val="202020"/>
                <w:sz w:val="18"/>
                <w:szCs w:val="18"/>
              </w:rPr>
              <w:t xml:space="preserve">MUCH LOWER than the employee threshold. Employer NIC applies on a wide band of earnings even when employee NIC is £0</w:t>
            </w:r>
          </w:p>
        </w:tc>
      </w:tr>
      <w:tr>
        <w:tc>
          <w:tcPr>
            <w:tcW w:type="dxa" w:w="2900"/>
            <w:tcMar>
              <w:top w:type="dxa" w:w="80"/>
              <w:left w:type="dxa" w:w="100"/>
              <w:bottom w:type="dxa" w:w="80"/>
              <w:right w:type="dxa" w:w="100"/>
            </w:tcMar>
          </w:tcPr>
          <w:p>
            <w:pPr>
              <w:jc w:val="left"/>
            </w:pPr>
            <w:r>
              <w:rPr>
                <w:b w:val="false"/>
                <w:bCs w:val="false"/>
                <w:color w:val="202020"/>
                <w:sz w:val="18"/>
                <w:szCs w:val="18"/>
              </w:rPr>
              <w:t xml:space="preserve">Employee rate (Primary Threshold to £50,270)</w:t>
            </w:r>
          </w:p>
        </w:tc>
        <w:tc>
          <w:tcPr>
            <w:tcW w:type="dxa" w:w="2200"/>
            <w:tcMar>
              <w:top w:type="dxa" w:w="80"/>
              <w:left w:type="dxa" w:w="100"/>
              <w:bottom w:type="dxa" w:w="80"/>
              <w:right w:type="dxa" w:w="100"/>
            </w:tcMar>
          </w:tcPr>
          <w:p>
            <w:pPr>
              <w:jc w:val="left"/>
            </w:pPr>
            <w:r>
              <w:rPr>
                <w:b w:val="false"/>
                <w:bCs w:val="false"/>
                <w:color w:val="202020"/>
                <w:sz w:val="18"/>
                <w:szCs w:val="18"/>
              </w:rPr>
              <w:t xml:space="preserve">8%</w:t>
            </w:r>
          </w:p>
        </w:tc>
        <w:tc>
          <w:tcPr>
            <w:tcW w:type="dxa" w:w="4646"/>
            <w:tcMar>
              <w:top w:type="dxa" w:w="80"/>
              <w:left w:type="dxa" w:w="100"/>
              <w:bottom w:type="dxa" w:w="80"/>
              <w:right w:type="dxa" w:w="100"/>
            </w:tcMar>
          </w:tcPr>
          <w:p>
            <w:pPr>
              <w:jc w:val="left"/>
            </w:pPr>
            <w:r>
              <w:rPr>
                <w:b w:val="false"/>
                <w:bCs w:val="false"/>
                <w:color w:val="202020"/>
                <w:sz w:val="18"/>
                <w:szCs w:val="18"/>
              </w:rPr>
              <w:t xml:space="preserve">2% above £50,270 (Upper Earnings Limit)</w:t>
            </w:r>
          </w:p>
        </w:tc>
      </w:tr>
      <w:tr>
        <w:tc>
          <w:tcPr>
            <w:tcW w:type="dxa" w:w="2900"/>
            <w:shd w:fill="F2F2F2" w:color="auto" w:val="clear"/>
            <w:tcMar>
              <w:top w:type="dxa" w:w="80"/>
              <w:left w:type="dxa" w:w="100"/>
              <w:bottom w:type="dxa" w:w="80"/>
              <w:right w:type="dxa" w:w="100"/>
            </w:tcMar>
          </w:tcPr>
          <w:p>
            <w:pPr>
              <w:jc w:val="left"/>
            </w:pPr>
            <w:r>
              <w:rPr>
                <w:b w:val="false"/>
                <w:bCs w:val="false"/>
                <w:color w:val="202020"/>
                <w:sz w:val="18"/>
                <w:szCs w:val="18"/>
              </w:rPr>
              <w:t xml:space="preserve">Employer rate (above Secondary Threshold)</w:t>
            </w:r>
          </w:p>
        </w:tc>
        <w:tc>
          <w:tcPr>
            <w:tcW w:type="dxa" w:w="2200"/>
            <w:shd w:fill="F2F2F2" w:color="auto" w:val="clear"/>
            <w:tcMar>
              <w:top w:type="dxa" w:w="80"/>
              <w:left w:type="dxa" w:w="100"/>
              <w:bottom w:type="dxa" w:w="80"/>
              <w:right w:type="dxa" w:w="100"/>
            </w:tcMar>
          </w:tcPr>
          <w:p>
            <w:pPr>
              <w:jc w:val="left"/>
            </w:pPr>
            <w:r>
              <w:rPr>
                <w:b w:val="false"/>
                <w:bCs w:val="false"/>
                <w:color w:val="202020"/>
                <w:sz w:val="18"/>
                <w:szCs w:val="18"/>
              </w:rPr>
              <w:t xml:space="preserve">15%</w:t>
            </w:r>
          </w:p>
        </w:tc>
        <w:tc>
          <w:tcPr>
            <w:tcW w:type="dxa" w:w="4646"/>
            <w:shd w:fill="F2F2F2" w:color="auto" w:val="clear"/>
            <w:tcMar>
              <w:top w:type="dxa" w:w="80"/>
              <w:left w:type="dxa" w:w="100"/>
              <w:bottom w:type="dxa" w:w="80"/>
              <w:right w:type="dxa" w:w="100"/>
            </w:tcMar>
          </w:tcPr>
          <w:p>
            <w:pPr>
              <w:jc w:val="left"/>
            </w:pPr>
            <w:r>
              <w:rPr>
                <w:b w:val="false"/>
                <w:bCs w:val="false"/>
                <w:color w:val="202020"/>
                <w:sz w:val="18"/>
                <w:szCs w:val="18"/>
              </w:rPr>
              <w:t xml:space="preserve">Flat rate, no upper cap or step-down</w:t>
            </w:r>
          </w:p>
        </w:tc>
      </w:tr>
      <w:tr>
        <w:tc>
          <w:tcPr>
            <w:tcW w:type="dxa" w:w="2900"/>
            <w:tcMar>
              <w:top w:type="dxa" w:w="80"/>
              <w:left w:type="dxa" w:w="100"/>
              <w:bottom w:type="dxa" w:w="80"/>
              <w:right w:type="dxa" w:w="100"/>
            </w:tcMar>
          </w:tcPr>
          <w:p>
            <w:pPr>
              <w:jc w:val="left"/>
            </w:pPr>
            <w:r>
              <w:rPr>
                <w:b w:val="false"/>
                <w:bCs w:val="false"/>
                <w:color w:val="202020"/>
                <w:sz w:val="18"/>
                <w:szCs w:val="18"/>
              </w:rPr>
              <w:t xml:space="preserve">Employment Allowance</w:t>
            </w:r>
          </w:p>
        </w:tc>
        <w:tc>
          <w:tcPr>
            <w:tcW w:type="dxa" w:w="2200"/>
            <w:tcMar>
              <w:top w:type="dxa" w:w="80"/>
              <w:left w:type="dxa" w:w="100"/>
              <w:bottom w:type="dxa" w:w="80"/>
              <w:right w:type="dxa" w:w="100"/>
            </w:tcMar>
          </w:tcPr>
          <w:p>
            <w:pPr>
              <w:jc w:val="left"/>
            </w:pPr>
            <w:r>
              <w:rPr>
                <w:b w:val="false"/>
                <w:bCs w:val="false"/>
                <w:color w:val="202020"/>
                <w:sz w:val="18"/>
                <w:szCs w:val="18"/>
              </w:rPr>
              <w:t xml:space="preserve">£10,500/year, offsets employer NIC</w:t>
            </w:r>
          </w:p>
        </w:tc>
        <w:tc>
          <w:tcPr>
            <w:tcW w:type="dxa" w:w="4646"/>
            <w:tcMar>
              <w:top w:type="dxa" w:w="80"/>
              <w:left w:type="dxa" w:w="100"/>
              <w:bottom w:type="dxa" w:w="80"/>
              <w:right w:type="dxa" w:w="100"/>
            </w:tcMar>
          </w:tcPr>
          <w:p>
            <w:pPr>
              <w:jc w:val="left"/>
            </w:pPr>
            <w:r>
              <w:rPr>
                <w:b w:val="false"/>
                <w:bCs w:val="false"/>
                <w:color w:val="202020"/>
                <w:sz w:val="18"/>
                <w:szCs w:val="18"/>
              </w:rPr>
              <w:t xml:space="preserve">NOT AVAILABLE if the director is the company's sole employee liable for employer NIC, the single most common case on this platform</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shd w:fill="1F2937" w:color="auto" w:val="clear"/>
            <w:tcMar>
              <w:top w:type="dxa" w:w="160"/>
              <w:left w:type="dxa" w:w="200"/>
              <w:bottom w:type="dxa" w:w="160"/>
              <w:right w:type="dxa" w:w="200"/>
            </w:tcMar>
          </w:tcPr>
          <w:p>
            <w:pPr>
              <w:spacing w:after="40"/>
            </w:pPr>
            <w:r>
              <w:rPr>
                <w:rFonts w:ascii="Consolas" w:cs="Consolas" w:eastAsia="Consolas" w:hAnsi="Consolas"/>
                <w:color w:val="E5E7EB"/>
                <w:sz w:val="19"/>
                <w:szCs w:val="19"/>
              </w:rPr>
              <w:t xml:space="preserve">Example: sole-director company, no other staff, salary set at £12,570 (Primary Threshold)</w:t>
            </w:r>
          </w:p>
          <w:p>
            <w:pPr>
              <w:spacing w:after="40"/>
            </w:pPr>
            <w:r>
              <w:rPr>
                <w:rFonts w:ascii="Consolas" w:cs="Consolas" w:eastAsia="Consolas" w:hAnsi="Consolas"/>
                <w:color w:val="E5E7EB"/>
                <w:sz w:val="19"/>
                <w:szCs w:val="19"/>
              </w:rPr>
              <w:t xml:space="preserve">Employment Allowance does NOT apply (sole director, sole employee liable for employer NIC)</w:t>
            </w:r>
          </w:p>
          <w:p>
            <w:pPr>
              <w:spacing w:after="40"/>
            </w:pPr>
            <w:r>
              <w:rPr>
                <w:rFonts w:ascii="Consolas" w:cs="Consolas" w:eastAsia="Consolas" w:hAnsi="Consolas"/>
                <w:color w:val="E5E7EB"/>
                <w:sz w:val="19"/>
                <w:szCs w:val="19"/>
              </w:rPr>
              <w:t xml:space="preserve"/>
            </w:r>
          </w:p>
          <w:p>
            <w:pPr>
              <w:spacing w:after="40"/>
            </w:pPr>
            <w:r>
              <w:rPr>
                <w:rFonts w:ascii="Consolas" w:cs="Consolas" w:eastAsia="Consolas" w:hAnsi="Consolas"/>
                <w:color w:val="E5E7EB"/>
                <w:sz w:val="19"/>
                <w:szCs w:val="19"/>
              </w:rPr>
              <w:t xml:space="preserve">Employee NIC   = £0 (salary sits exactly at the Primary Threshold, nothing above it to tax)</w:t>
            </w:r>
          </w:p>
          <w:p>
            <w:pPr>
              <w:spacing w:after="40"/>
            </w:pPr>
            <w:r>
              <w:rPr>
                <w:rFonts w:ascii="Consolas" w:cs="Consolas" w:eastAsia="Consolas" w:hAnsi="Consolas"/>
                <w:color w:val="E5E7EB"/>
                <w:sz w:val="19"/>
                <w:szCs w:val="19"/>
              </w:rPr>
              <w:t xml:space="preserve">Employer NIC   = (£12,570 - £5,000) x 15% = £7,570 x 15% = £1,135.50</w:t>
            </w:r>
          </w:p>
          <w:p>
            <w:pPr>
              <w:spacing w:after="40"/>
            </w:pPr>
            <w:r>
              <w:rPr>
                <w:rFonts w:ascii="Consolas" w:cs="Consolas" w:eastAsia="Consolas" w:hAnsi="Consolas"/>
                <w:color w:val="E5E7EB"/>
                <w:sz w:val="19"/>
                <w:szCs w:val="19"/>
              </w:rPr>
              <w:t xml:space="preserve"/>
            </w:r>
          </w:p>
          <w:p>
            <w:pPr>
              <w:spacing w:after="40"/>
            </w:pPr>
            <w:r>
              <w:rPr>
                <w:rFonts w:ascii="Consolas" w:cs="Consolas" w:eastAsia="Consolas" w:hAnsi="Consolas"/>
                <w:color w:val="E5E7EB"/>
                <w:sz w:val="19"/>
                <w:szCs w:val="19"/>
              </w:rPr>
              <w:t xml:space="preserve">TOTAL EMPLOYER COST = £12,570.00 salary + £1,135.50 employer NIC = £13,705.50</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8A1F2D" w:sz="4"/>
              <w:left w:val="single" w:color="8A1F2D" w:sz="4"/>
              <w:bottom w:val="single" w:color="8A1F2D" w:sz="4"/>
              <w:right w:val="single" w:color="8A1F2D" w:sz="4"/>
            </w:tcBorders>
            <w:shd w:fill="FCEEEE" w:color="auto" w:val="clear"/>
            <w:tcMar>
              <w:top w:type="dxa" w:w="140"/>
              <w:left w:type="dxa" w:w="200"/>
              <w:bottom w:type="dxa" w:w="140"/>
              <w:right w:type="dxa" w:w="200"/>
            </w:tcMar>
          </w:tcPr>
          <w:p>
            <w:pPr>
              <w:spacing w:after="60"/>
            </w:pPr>
            <w:r>
              <w:rPr>
                <w:b/>
                <w:bCs/>
                <w:color w:val="8A1F2D"/>
                <w:sz w:val="20"/>
                <w:szCs w:val="20"/>
              </w:rPr>
              <w:t xml:space="preserve">BUILD RULE 3.4.7</w:t>
            </w:r>
          </w:p>
          <w:p>
            <w:pPr>
              <w:spacing w:after="0"/>
            </w:pPr>
            <w:r>
              <w:rPr>
                <w:color w:val="202020"/>
                <w:sz w:val="20"/>
                <w:szCs w:val="20"/>
              </w:rPr>
              <w:t xml:space="preserve">A naive rule of "salary at or below the Primary Threshold means zero NIC cost" is wrong and will misquote every sole-director user's true cost by over £1,100/year. Employer NIC must be calculated independently against the £5,000 Secondary Threshold, and Employment Allowance eligibility must be checked explicitly rather than assumed. Payroll also requires ongoing Full Payment Submission (FPS) on or before every payday, an architecturally separate, continuous reporting obligation from the annual CT600/Self Assessment filings, do not fold it into the same submission engine or scheduling logic.</w:t>
            </w:r>
          </w:p>
        </w:tc>
      </w:tr>
    </w:tbl>
    <w:p>
      <w:pPr>
        <w:pStyle w:val="Heading3"/>
        <w:spacing w:after="100" w:before="200"/>
      </w:pPr>
      <w:r>
        <w:t xml:space="preserve">3.4.8 Savings and property income: a rate rise that is NOT yet live, do not apply it a year early</w:t>
      </w:r>
    </w:p>
    <w:p>
      <w:pPr>
        <w:spacing w:after="150" w:line="300"/>
      </w:pPr>
      <w:r>
        <w:rPr>
          <w:color w:val="202020"/>
          <w:sz w:val="21"/>
          <w:szCs w:val="21"/>
        </w:rPr>
        <w:t xml:space="preserve">The Autumn Budget 2025 document that raised dividend rates (used throughout 3.4.5) also announced new rates for savings income and property/rental income, but on a different timetable. Confusing the two is an easy, specific mistake for this platform to make, because both changes come from the same announcement and the same headline percentages keep appearing together in commentary.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900"/>
        <w:gridCol w:w="2600"/>
        <w:gridCol w:w="2246"/>
        <w:gridCol w:w="2000"/>
      </w:tblGrid>
      <w:tr>
        <w:trPr>
          <w:tblHeader/>
        </w:trPr>
        <w:tc>
          <w:tcPr>
            <w:tcW w:type="dxa" w:w="2900"/>
            <w:shd w:fill="1F3A5F" w:color="auto" w:val="clear"/>
            <w:tcMar>
              <w:top w:type="dxa" w:w="80"/>
              <w:left w:type="dxa" w:w="100"/>
              <w:bottom w:type="dxa" w:w="80"/>
              <w:right w:type="dxa" w:w="100"/>
            </w:tcMar>
          </w:tcPr>
          <w:p>
            <w:pPr>
              <w:jc w:val="left"/>
            </w:pPr>
            <w:r>
              <w:rPr>
                <w:b/>
                <w:bCs/>
                <w:color w:val="FFFFFF"/>
                <w:sz w:val="18"/>
                <w:szCs w:val="18"/>
              </w:rPr>
              <w:t xml:space="preserve">Income type</w:t>
            </w:r>
          </w:p>
        </w:tc>
        <w:tc>
          <w:tcPr>
            <w:tcW w:type="dxa" w:w="2600"/>
            <w:shd w:fill="1F3A5F" w:color="auto" w:val="clear"/>
            <w:tcMar>
              <w:top w:type="dxa" w:w="80"/>
              <w:left w:type="dxa" w:w="100"/>
              <w:bottom w:type="dxa" w:w="80"/>
              <w:right w:type="dxa" w:w="100"/>
            </w:tcMar>
          </w:tcPr>
          <w:p>
            <w:pPr>
              <w:jc w:val="left"/>
            </w:pPr>
            <w:r>
              <w:rPr>
                <w:b/>
                <w:bCs/>
                <w:color w:val="FFFFFF"/>
                <w:sz w:val="18"/>
                <w:szCs w:val="18"/>
              </w:rPr>
              <w:t xml:space="preserve">Current rates (2026/27)</w:t>
            </w:r>
          </w:p>
        </w:tc>
        <w:tc>
          <w:tcPr>
            <w:tcW w:type="dxa" w:w="2246"/>
            <w:shd w:fill="1F3A5F" w:color="auto" w:val="clear"/>
            <w:tcMar>
              <w:top w:type="dxa" w:w="80"/>
              <w:left w:type="dxa" w:w="100"/>
              <w:bottom w:type="dxa" w:w="80"/>
              <w:right w:type="dxa" w:w="100"/>
            </w:tcMar>
          </w:tcPr>
          <w:p>
            <w:pPr>
              <w:jc w:val="left"/>
            </w:pPr>
            <w:r>
              <w:rPr>
                <w:b/>
                <w:bCs/>
                <w:color w:val="FFFFFF"/>
                <w:sz w:val="18"/>
                <w:szCs w:val="18"/>
              </w:rPr>
              <w:t xml:space="preserve">New rates</w:t>
            </w:r>
          </w:p>
        </w:tc>
        <w:tc>
          <w:tcPr>
            <w:tcW w:type="dxa" w:w="2000"/>
            <w:shd w:fill="1F3A5F" w:color="auto" w:val="clear"/>
            <w:tcMar>
              <w:top w:type="dxa" w:w="80"/>
              <w:left w:type="dxa" w:w="100"/>
              <w:bottom w:type="dxa" w:w="80"/>
              <w:right w:type="dxa" w:w="100"/>
            </w:tcMar>
          </w:tcPr>
          <w:p>
            <w:pPr>
              <w:jc w:val="left"/>
            </w:pPr>
            <w:r>
              <w:rPr>
                <w:b/>
                <w:bCs/>
                <w:color w:val="FFFFFF"/>
                <w:sz w:val="18"/>
                <w:szCs w:val="18"/>
              </w:rPr>
              <w:t xml:space="preserve">New rates apply from</w:t>
            </w:r>
          </w:p>
        </w:tc>
      </w:tr>
      <w:tr>
        <w:tc>
          <w:tcPr>
            <w:tcW w:type="dxa" w:w="2900"/>
            <w:tcMar>
              <w:top w:type="dxa" w:w="80"/>
              <w:left w:type="dxa" w:w="100"/>
              <w:bottom w:type="dxa" w:w="80"/>
              <w:right w:type="dxa" w:w="100"/>
            </w:tcMar>
          </w:tcPr>
          <w:p>
            <w:pPr>
              <w:jc w:val="left"/>
            </w:pPr>
            <w:r>
              <w:rPr>
                <w:b w:val="false"/>
                <w:bCs w:val="false"/>
                <w:color w:val="202020"/>
                <w:sz w:val="18"/>
                <w:szCs w:val="18"/>
              </w:rPr>
              <w:t xml:space="preserve">Dividends</w:t>
            </w:r>
          </w:p>
        </w:tc>
        <w:tc>
          <w:tcPr>
            <w:tcW w:type="dxa" w:w="2600"/>
            <w:tcMar>
              <w:top w:type="dxa" w:w="80"/>
              <w:left w:type="dxa" w:w="100"/>
              <w:bottom w:type="dxa" w:w="80"/>
              <w:right w:type="dxa" w:w="100"/>
            </w:tcMar>
          </w:tcPr>
          <w:p>
            <w:pPr>
              <w:jc w:val="left"/>
            </w:pPr>
            <w:r>
              <w:rPr>
                <w:b w:val="false"/>
                <w:bCs w:val="false"/>
                <w:color w:val="202020"/>
                <w:sz w:val="18"/>
                <w:szCs w:val="18"/>
              </w:rPr>
              <w:t xml:space="preserve">10.75% / 35.75% / 39.35% (Section 3.4.5)</w:t>
            </w:r>
          </w:p>
        </w:tc>
        <w:tc>
          <w:tcPr>
            <w:tcW w:type="dxa" w:w="2246"/>
            <w:tcMar>
              <w:top w:type="dxa" w:w="80"/>
              <w:left w:type="dxa" w:w="100"/>
              <w:bottom w:type="dxa" w:w="80"/>
              <w:right w:type="dxa" w:w="100"/>
            </w:tcMar>
          </w:tcPr>
          <w:p>
            <w:pPr>
              <w:jc w:val="left"/>
            </w:pPr>
            <w:r>
              <w:rPr>
                <w:b w:val="false"/>
                <w:bCs w:val="false"/>
                <w:color w:val="202020"/>
                <w:sz w:val="18"/>
                <w:szCs w:val="18"/>
              </w:rPr>
              <w:t xml:space="preserve">Already shown, these ARE the new rates</w:t>
            </w:r>
          </w:p>
        </w:tc>
        <w:tc>
          <w:tcPr>
            <w:tcW w:type="dxa" w:w="2000"/>
            <w:tcMar>
              <w:top w:type="dxa" w:w="80"/>
              <w:left w:type="dxa" w:w="100"/>
              <w:bottom w:type="dxa" w:w="80"/>
              <w:right w:type="dxa" w:w="100"/>
            </w:tcMar>
          </w:tcPr>
          <w:p>
            <w:pPr>
              <w:jc w:val="left"/>
            </w:pPr>
            <w:r>
              <w:rPr>
                <w:b w:val="false"/>
                <w:bCs w:val="false"/>
                <w:color w:val="202020"/>
                <w:sz w:val="18"/>
                <w:szCs w:val="18"/>
              </w:rPr>
              <w:t xml:space="preserve">6 April 2026, already live</w:t>
            </w:r>
          </w:p>
        </w:tc>
      </w:tr>
      <w:tr>
        <w:tc>
          <w:tcPr>
            <w:tcW w:type="dxa" w:w="2900"/>
            <w:shd w:fill="F2F2F2" w:color="auto" w:val="clear"/>
            <w:tcMar>
              <w:top w:type="dxa" w:w="80"/>
              <w:left w:type="dxa" w:w="100"/>
              <w:bottom w:type="dxa" w:w="80"/>
              <w:right w:type="dxa" w:w="100"/>
            </w:tcMar>
          </w:tcPr>
          <w:p>
            <w:pPr>
              <w:jc w:val="left"/>
            </w:pPr>
            <w:r>
              <w:rPr>
                <w:b w:val="false"/>
                <w:bCs w:val="false"/>
                <w:color w:val="202020"/>
                <w:sz w:val="18"/>
                <w:szCs w:val="18"/>
              </w:rPr>
              <w:t xml:space="preserve">Savings interest</w:t>
            </w:r>
          </w:p>
        </w:tc>
        <w:tc>
          <w:tcPr>
            <w:tcW w:type="dxa" w:w="2600"/>
            <w:shd w:fill="F2F2F2" w:color="auto" w:val="clear"/>
            <w:tcMar>
              <w:top w:type="dxa" w:w="80"/>
              <w:left w:type="dxa" w:w="100"/>
              <w:bottom w:type="dxa" w:w="80"/>
              <w:right w:type="dxa" w:w="100"/>
            </w:tcMar>
          </w:tcPr>
          <w:p>
            <w:pPr>
              <w:jc w:val="left"/>
            </w:pPr>
            <w:r>
              <w:rPr>
                <w:b w:val="false"/>
                <w:bCs w:val="false"/>
                <w:color w:val="202020"/>
                <w:sz w:val="18"/>
                <w:szCs w:val="18"/>
              </w:rPr>
              <w:t xml:space="preserve">20% / 40% / 45%, the ordinary non-savings bands, unchanged this year</w:t>
            </w:r>
          </w:p>
        </w:tc>
        <w:tc>
          <w:tcPr>
            <w:tcW w:type="dxa" w:w="2246"/>
            <w:shd w:fill="F2F2F2" w:color="auto" w:val="clear"/>
            <w:tcMar>
              <w:top w:type="dxa" w:w="80"/>
              <w:left w:type="dxa" w:w="100"/>
              <w:bottom w:type="dxa" w:w="80"/>
              <w:right w:type="dxa" w:w="100"/>
            </w:tcMar>
          </w:tcPr>
          <w:p>
            <w:pPr>
              <w:jc w:val="left"/>
            </w:pPr>
            <w:r>
              <w:rPr>
                <w:b w:val="false"/>
                <w:bCs w:val="false"/>
                <w:color w:val="202020"/>
                <w:sz w:val="18"/>
                <w:szCs w:val="18"/>
              </w:rPr>
              <w:t xml:space="preserve">22% / 42% / 47%, new standalone savings rates</w:t>
            </w:r>
          </w:p>
        </w:tc>
        <w:tc>
          <w:tcPr>
            <w:tcW w:type="dxa" w:w="2000"/>
            <w:shd w:fill="F2F2F2" w:color="auto" w:val="clear"/>
            <w:tcMar>
              <w:top w:type="dxa" w:w="80"/>
              <w:left w:type="dxa" w:w="100"/>
              <w:bottom w:type="dxa" w:w="80"/>
              <w:right w:type="dxa" w:w="100"/>
            </w:tcMar>
          </w:tcPr>
          <w:p>
            <w:pPr>
              <w:jc w:val="left"/>
            </w:pPr>
            <w:r>
              <w:rPr>
                <w:b w:val="false"/>
                <w:bCs w:val="false"/>
                <w:color w:val="202020"/>
                <w:sz w:val="18"/>
                <w:szCs w:val="18"/>
              </w:rPr>
              <w:t xml:space="preserve">6 April 2027, NOT yet live</w:t>
            </w:r>
          </w:p>
        </w:tc>
      </w:tr>
      <w:tr>
        <w:tc>
          <w:tcPr>
            <w:tcW w:type="dxa" w:w="2900"/>
            <w:tcMar>
              <w:top w:type="dxa" w:w="80"/>
              <w:left w:type="dxa" w:w="100"/>
              <w:bottom w:type="dxa" w:w="80"/>
              <w:right w:type="dxa" w:w="100"/>
            </w:tcMar>
          </w:tcPr>
          <w:p>
            <w:pPr>
              <w:jc w:val="left"/>
            </w:pPr>
            <w:r>
              <w:rPr>
                <w:b w:val="false"/>
                <w:bCs w:val="false"/>
                <w:color w:val="202020"/>
                <w:sz w:val="18"/>
                <w:szCs w:val="18"/>
              </w:rPr>
              <w:t xml:space="preserve">Property/rental income</w:t>
            </w:r>
          </w:p>
        </w:tc>
        <w:tc>
          <w:tcPr>
            <w:tcW w:type="dxa" w:w="2600"/>
            <w:tcMar>
              <w:top w:type="dxa" w:w="80"/>
              <w:left w:type="dxa" w:w="100"/>
              <w:bottom w:type="dxa" w:w="80"/>
              <w:right w:type="dxa" w:w="100"/>
            </w:tcMar>
          </w:tcPr>
          <w:p>
            <w:pPr>
              <w:jc w:val="left"/>
            </w:pPr>
            <w:r>
              <w:rPr>
                <w:b w:val="false"/>
                <w:bCs w:val="false"/>
                <w:color w:val="202020"/>
                <w:sz w:val="18"/>
                <w:szCs w:val="18"/>
              </w:rPr>
              <w:t xml:space="preserve">20% / 40% / 45%, the ordinary non-savings bands, unchanged this year</w:t>
            </w:r>
          </w:p>
        </w:tc>
        <w:tc>
          <w:tcPr>
            <w:tcW w:type="dxa" w:w="2246"/>
            <w:tcMar>
              <w:top w:type="dxa" w:w="80"/>
              <w:left w:type="dxa" w:w="100"/>
              <w:bottom w:type="dxa" w:w="80"/>
              <w:right w:type="dxa" w:w="100"/>
            </w:tcMar>
          </w:tcPr>
          <w:p>
            <w:pPr>
              <w:jc w:val="left"/>
            </w:pPr>
            <w:r>
              <w:rPr>
                <w:b w:val="false"/>
                <w:bCs w:val="false"/>
                <w:color w:val="202020"/>
                <w:sz w:val="18"/>
                <w:szCs w:val="18"/>
              </w:rPr>
              <w:t xml:space="preserve">22% / 42% / 47%, new standalone property rates</w:t>
            </w:r>
          </w:p>
        </w:tc>
        <w:tc>
          <w:tcPr>
            <w:tcW w:type="dxa" w:w="2000"/>
            <w:tcMar>
              <w:top w:type="dxa" w:w="80"/>
              <w:left w:type="dxa" w:w="100"/>
              <w:bottom w:type="dxa" w:w="80"/>
              <w:right w:type="dxa" w:w="100"/>
            </w:tcMar>
          </w:tcPr>
          <w:p>
            <w:pPr>
              <w:jc w:val="left"/>
            </w:pPr>
            <w:r>
              <w:rPr>
                <w:b w:val="false"/>
                <w:bCs w:val="false"/>
                <w:color w:val="202020"/>
                <w:sz w:val="18"/>
                <w:szCs w:val="18"/>
              </w:rPr>
              <w:t xml:space="preserve">6 April 2027, NOT yet live</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8A1F2D" w:sz="4"/>
              <w:left w:val="single" w:color="8A1F2D" w:sz="4"/>
              <w:bottom w:val="single" w:color="8A1F2D" w:sz="4"/>
              <w:right w:val="single" w:color="8A1F2D" w:sz="4"/>
            </w:tcBorders>
            <w:shd w:fill="FCEEEE" w:color="auto" w:val="clear"/>
            <w:tcMar>
              <w:top w:type="dxa" w:w="140"/>
              <w:left w:type="dxa" w:w="200"/>
              <w:bottom w:type="dxa" w:w="140"/>
              <w:right w:type="dxa" w:w="200"/>
            </w:tcMar>
          </w:tcPr>
          <w:p>
            <w:pPr>
              <w:spacing w:after="60"/>
            </w:pPr>
            <w:r>
              <w:rPr>
                <w:b/>
                <w:bCs/>
                <w:color w:val="8A1F2D"/>
                <w:sz w:val="20"/>
                <w:szCs w:val="20"/>
              </w:rPr>
              <w:t xml:space="preserve">BUILD RULE 3.4.8</w:t>
            </w:r>
          </w:p>
          <w:p>
            <w:pPr>
              <w:spacing w:after="0"/>
            </w:pPr>
            <w:r>
              <w:rPr>
                <w:color w:val="202020"/>
                <w:sz w:val="20"/>
                <w:szCs w:val="20"/>
              </w:rPr>
              <w:t xml:space="preserve">For any accounting or tax period falling in 2026/27, tax savings interest and property income at the ordinary 20%/40%/45% non-savings bands, exactly as before the Budget, the reference engine in Section 12.4 does this by design. Do not wire the new 22%/42%/47% rates into the platform until the 2027/28 tax year is actually in scope, and when that work starts, note that a new income-stacking order also takes effect alongside it: non-savings/non-property/non-dividend income first, then property income, then savings income, then dividends last, a different order from the two-tier salary-then-dividends stacking in Rule 3.4.5a. Residential finance-cost relief for landlords also moves from a flat 20% restriction to the new 22% property basic rate from the same date, another dependent change to pick up in the same release, not separately.</w:t>
            </w:r>
          </w:p>
        </w:tc>
      </w:tr>
    </w:tbl>
    <w:p>
      <w:pPr>
        <w:pStyle w:val="Heading2"/>
        <w:spacing w:after="140" w:before="300"/>
      </w:pPr>
      <w:r>
        <w:t xml:space="preserve">3.5 Making Tax Digital for Income Tax (MTD ITSA)</w:t>
      </w:r>
    </w:p>
    <w:p>
      <w:pPr>
        <w:spacing w:after="150" w:line="300"/>
      </w:pPr>
      <w:r>
        <w:rPr>
          <w:color w:val="202020"/>
          <w:sz w:val="21"/>
          <w:szCs w:val="21"/>
        </w:rPr>
        <w:t xml:space="preserve">This replaces the single annual SA100 return, for those mandated into it, with a fundamentally different structure: four quarterly updates during the year, followed by one Final Declaration at year end. This is the part of the platform most likely to be built wrong if the developer assumes it works like the old process, read this subsection carefully.</w:t>
      </w:r>
    </w:p>
    <w:p>
      <w:pPr>
        <w:pStyle w:val="Heading3"/>
        <w:spacing w:after="100" w:before="200"/>
      </w:pPr>
      <w:r>
        <w:t xml:space="preserve">3.5.1 Who must use it, phased by income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346"/>
      </w:tblGrid>
      <w:tr>
        <w:trPr>
          <w:tblHeader/>
        </w:trPr>
        <w:tc>
          <w:tcPr>
            <w:tcW w:type="dxa" w:w="3200"/>
            <w:shd w:fill="1F3A5F" w:color="auto" w:val="clear"/>
            <w:tcMar>
              <w:top w:type="dxa" w:w="80"/>
              <w:left w:type="dxa" w:w="100"/>
              <w:bottom w:type="dxa" w:w="80"/>
              <w:right w:type="dxa" w:w="100"/>
            </w:tcMar>
          </w:tcPr>
          <w:p>
            <w:pPr>
              <w:jc w:val="left"/>
            </w:pPr>
            <w:r>
              <w:rPr>
                <w:b/>
                <w:bCs/>
                <w:color w:val="FFFFFF"/>
                <w:sz w:val="18"/>
                <w:szCs w:val="18"/>
              </w:rPr>
              <w:t xml:space="preserve">Qualifying income threshold</w:t>
            </w:r>
          </w:p>
        </w:tc>
        <w:tc>
          <w:tcPr>
            <w:tcW w:type="dxa" w:w="3200"/>
            <w:shd w:fill="1F3A5F" w:color="auto" w:val="clear"/>
            <w:tcMar>
              <w:top w:type="dxa" w:w="80"/>
              <w:left w:type="dxa" w:w="100"/>
              <w:bottom w:type="dxa" w:w="80"/>
              <w:right w:type="dxa" w:w="100"/>
            </w:tcMar>
          </w:tcPr>
          <w:p>
            <w:pPr>
              <w:jc w:val="left"/>
            </w:pPr>
            <w:r>
              <w:rPr>
                <w:b/>
                <w:bCs/>
                <w:color w:val="FFFFFF"/>
                <w:sz w:val="18"/>
                <w:szCs w:val="18"/>
              </w:rPr>
              <w:t xml:space="preserve">Mandatory from</w:t>
            </w:r>
          </w:p>
        </w:tc>
        <w:tc>
          <w:tcPr>
            <w:tcW w:type="dxa" w:w="3346"/>
            <w:shd w:fill="1F3A5F" w:color="auto" w:val="clear"/>
            <w:tcMar>
              <w:top w:type="dxa" w:w="80"/>
              <w:left w:type="dxa" w:w="100"/>
              <w:bottom w:type="dxa" w:w="80"/>
              <w:right w:type="dxa" w:w="100"/>
            </w:tcMar>
          </w:tcPr>
          <w:p>
            <w:pPr>
              <w:jc w:val="left"/>
            </w:pPr>
            <w:r>
              <w:rPr>
                <w:b/>
                <w:bCs/>
                <w:color w:val="FFFFFF"/>
                <w:sz w:val="18"/>
                <w:szCs w:val="18"/>
              </w:rPr>
              <w:t xml:space="preserve">Assessed against</w:t>
            </w:r>
          </w:p>
        </w:tc>
      </w:tr>
      <w:tr>
        <w:tc>
          <w:tcPr>
            <w:tcW w:type="dxa" w:w="3200"/>
            <w:tcMar>
              <w:top w:type="dxa" w:w="80"/>
              <w:left w:type="dxa" w:w="100"/>
              <w:bottom w:type="dxa" w:w="80"/>
              <w:right w:type="dxa" w:w="100"/>
            </w:tcMar>
          </w:tcPr>
          <w:p>
            <w:pPr>
              <w:jc w:val="left"/>
            </w:pPr>
            <w:r>
              <w:rPr>
                <w:b w:val="false"/>
                <w:bCs w:val="false"/>
                <w:color w:val="202020"/>
                <w:sz w:val="18"/>
                <w:szCs w:val="18"/>
              </w:rPr>
              <w:t xml:space="preserve">Over £50,000</w:t>
            </w:r>
          </w:p>
        </w:tc>
        <w:tc>
          <w:tcPr>
            <w:tcW w:type="dxa" w:w="3200"/>
            <w:tcMar>
              <w:top w:type="dxa" w:w="80"/>
              <w:left w:type="dxa" w:w="100"/>
              <w:bottom w:type="dxa" w:w="80"/>
              <w:right w:type="dxa" w:w="100"/>
            </w:tcMar>
          </w:tcPr>
          <w:p>
            <w:pPr>
              <w:jc w:val="left"/>
            </w:pPr>
            <w:r>
              <w:rPr>
                <w:b w:val="false"/>
                <w:bCs w:val="false"/>
                <w:color w:val="202020"/>
                <w:sz w:val="18"/>
                <w:szCs w:val="18"/>
              </w:rPr>
              <w:t xml:space="preserve">6 April 2026</w:t>
            </w:r>
          </w:p>
        </w:tc>
        <w:tc>
          <w:tcPr>
            <w:tcW w:type="dxa" w:w="3346"/>
            <w:tcMar>
              <w:top w:type="dxa" w:w="80"/>
              <w:left w:type="dxa" w:w="100"/>
              <w:bottom w:type="dxa" w:w="80"/>
              <w:right w:type="dxa" w:w="100"/>
            </w:tcMar>
          </w:tcPr>
          <w:p>
            <w:pPr>
              <w:jc w:val="left"/>
            </w:pPr>
            <w:r>
              <w:rPr>
                <w:b w:val="false"/>
                <w:bCs w:val="false"/>
                <w:color w:val="202020"/>
                <w:sz w:val="18"/>
                <w:szCs w:val="18"/>
              </w:rPr>
              <w:t xml:space="preserve">2024/25 Self Assessment return</w:t>
            </w:r>
          </w:p>
        </w:tc>
      </w:tr>
      <w:tr>
        <w:tc>
          <w:tcPr>
            <w:tcW w:type="dxa" w:w="3200"/>
            <w:shd w:fill="F2F2F2" w:color="auto" w:val="clear"/>
            <w:tcMar>
              <w:top w:type="dxa" w:w="80"/>
              <w:left w:type="dxa" w:w="100"/>
              <w:bottom w:type="dxa" w:w="80"/>
              <w:right w:type="dxa" w:w="100"/>
            </w:tcMar>
          </w:tcPr>
          <w:p>
            <w:pPr>
              <w:jc w:val="left"/>
            </w:pPr>
            <w:r>
              <w:rPr>
                <w:b w:val="false"/>
                <w:bCs w:val="false"/>
                <w:color w:val="202020"/>
                <w:sz w:val="18"/>
                <w:szCs w:val="18"/>
              </w:rPr>
              <w:t xml:space="preserve">Over £30,000</w:t>
            </w:r>
          </w:p>
        </w:tc>
        <w:tc>
          <w:tcPr>
            <w:tcW w:type="dxa" w:w="3200"/>
            <w:shd w:fill="F2F2F2" w:color="auto" w:val="clear"/>
            <w:tcMar>
              <w:top w:type="dxa" w:w="80"/>
              <w:left w:type="dxa" w:w="100"/>
              <w:bottom w:type="dxa" w:w="80"/>
              <w:right w:type="dxa" w:w="100"/>
            </w:tcMar>
          </w:tcPr>
          <w:p>
            <w:pPr>
              <w:jc w:val="left"/>
            </w:pPr>
            <w:r>
              <w:rPr>
                <w:b w:val="false"/>
                <w:bCs w:val="false"/>
                <w:color w:val="202020"/>
                <w:sz w:val="18"/>
                <w:szCs w:val="18"/>
              </w:rPr>
              <w:t xml:space="preserve">6 April 2027</w:t>
            </w:r>
          </w:p>
        </w:tc>
        <w:tc>
          <w:tcPr>
            <w:tcW w:type="dxa" w:w="3346"/>
            <w:shd w:fill="F2F2F2" w:color="auto" w:val="clear"/>
            <w:tcMar>
              <w:top w:type="dxa" w:w="80"/>
              <w:left w:type="dxa" w:w="100"/>
              <w:bottom w:type="dxa" w:w="80"/>
              <w:right w:type="dxa" w:w="100"/>
            </w:tcMar>
          </w:tcPr>
          <w:p>
            <w:pPr>
              <w:jc w:val="left"/>
            </w:pPr>
            <w:r>
              <w:rPr>
                <w:b w:val="false"/>
                <w:bCs w:val="false"/>
                <w:color w:val="202020"/>
                <w:sz w:val="18"/>
                <w:szCs w:val="18"/>
              </w:rPr>
              <w:t xml:space="preserve">2025/26 Self Assessment return</w:t>
            </w:r>
          </w:p>
        </w:tc>
      </w:tr>
      <w:tr>
        <w:tc>
          <w:tcPr>
            <w:tcW w:type="dxa" w:w="3200"/>
            <w:tcMar>
              <w:top w:type="dxa" w:w="80"/>
              <w:left w:type="dxa" w:w="100"/>
              <w:bottom w:type="dxa" w:w="80"/>
              <w:right w:type="dxa" w:w="100"/>
            </w:tcMar>
          </w:tcPr>
          <w:p>
            <w:pPr>
              <w:jc w:val="left"/>
            </w:pPr>
            <w:r>
              <w:rPr>
                <w:b w:val="false"/>
                <w:bCs w:val="false"/>
                <w:color w:val="202020"/>
                <w:sz w:val="18"/>
                <w:szCs w:val="18"/>
              </w:rPr>
              <w:t xml:space="preserve">Over £20,000</w:t>
            </w:r>
          </w:p>
        </w:tc>
        <w:tc>
          <w:tcPr>
            <w:tcW w:type="dxa" w:w="3200"/>
            <w:tcMar>
              <w:top w:type="dxa" w:w="80"/>
              <w:left w:type="dxa" w:w="100"/>
              <w:bottom w:type="dxa" w:w="80"/>
              <w:right w:type="dxa" w:w="100"/>
            </w:tcMar>
          </w:tcPr>
          <w:p>
            <w:pPr>
              <w:jc w:val="left"/>
            </w:pPr>
            <w:r>
              <w:rPr>
                <w:b w:val="false"/>
                <w:bCs w:val="false"/>
                <w:color w:val="202020"/>
                <w:sz w:val="18"/>
                <w:szCs w:val="18"/>
              </w:rPr>
              <w:t xml:space="preserve">6 April 2028</w:t>
            </w:r>
          </w:p>
        </w:tc>
        <w:tc>
          <w:tcPr>
            <w:tcW w:type="dxa" w:w="3346"/>
            <w:tcMar>
              <w:top w:type="dxa" w:w="80"/>
              <w:left w:type="dxa" w:w="100"/>
              <w:bottom w:type="dxa" w:w="80"/>
              <w:right w:type="dxa" w:w="100"/>
            </w:tcMar>
          </w:tcPr>
          <w:p>
            <w:pPr>
              <w:jc w:val="left"/>
            </w:pPr>
            <w:r>
              <w:rPr>
                <w:b w:val="false"/>
                <w:bCs w:val="false"/>
                <w:color w:val="202020"/>
                <w:sz w:val="18"/>
                <w:szCs w:val="18"/>
              </w:rPr>
              <w:t xml:space="preserve">Prior year's return</w:t>
            </w:r>
          </w:p>
        </w:tc>
      </w:tr>
    </w:tbl>
    <w:p>
      <w:pPr>
        <w:spacing w:after="150" w:line="300"/>
      </w:pPr>
      <w:r>
        <w:rPr>
          <w:i w:val="false"/>
          <w:iCs w:val="false"/>
          <w:color w:val="202020"/>
          <w:sz w:val="21"/>
          <w:szCs w:val="21"/>
        </w:rPr>
        <w:t xml:space="preserve">Qualifying income means gross turnover, before expenses, from self-employment plus property income combined. It explicitly excludes employment/PAYE income, partnership profit shares, dividends, savings interest, and pensions. A user below the threshold, or whose income is entirely non-qualifying (for example, purely employment and dividends), stays on the old SA100 process, not MTD ITSA.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8A1F2D" w:sz="4"/>
              <w:left w:val="single" w:color="8A1F2D" w:sz="4"/>
              <w:bottom w:val="single" w:color="8A1F2D" w:sz="4"/>
              <w:right w:val="single" w:color="8A1F2D" w:sz="4"/>
            </w:tcBorders>
            <w:shd w:fill="FCEEEE" w:color="auto" w:val="clear"/>
            <w:tcMar>
              <w:top w:type="dxa" w:w="140"/>
              <w:left w:type="dxa" w:w="200"/>
              <w:bottom w:type="dxa" w:w="140"/>
              <w:right w:type="dxa" w:w="200"/>
            </w:tcMar>
          </w:tcPr>
          <w:p>
            <w:pPr>
              <w:spacing w:after="60"/>
            </w:pPr>
            <w:r>
              <w:rPr>
                <w:b/>
                <w:bCs/>
                <w:color w:val="8A1F2D"/>
                <w:sz w:val="20"/>
                <w:szCs w:val="20"/>
              </w:rPr>
              <w:t xml:space="preserve">BUILD RULE 3.5.1</w:t>
            </w:r>
          </w:p>
          <w:p>
            <w:pPr>
              <w:spacing w:after="0"/>
            </w:pPr>
            <w:r>
              <w:rPr>
                <w:color w:val="202020"/>
                <w:sz w:val="20"/>
                <w:szCs w:val="20"/>
              </w:rPr>
              <w:t xml:space="preserve">Mandation status must be calculated from the PRIOR tax year's qualifying income, not the current year's, and re-checked every year, since a user can move in or out of scope as their income changes. Build this as an annual recalculation, not a one-time onboarding flag.</w:t>
            </w:r>
          </w:p>
        </w:tc>
      </w:tr>
    </w:tbl>
    <w:p>
      <w:pPr>
        <w:pStyle w:val="Heading3"/>
        <w:spacing w:after="100" w:before="200"/>
      </w:pPr>
      <w:r>
        <w:t xml:space="preserve">3.5.2 The four quarterly update periods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46"/>
        <w:gridCol w:w="2400"/>
        <w:gridCol w:w="4900"/>
      </w:tblGrid>
      <w:tr>
        <w:trPr>
          <w:tblHeader/>
        </w:trPr>
        <w:tc>
          <w:tcPr>
            <w:tcW w:type="dxa" w:w="2446"/>
            <w:shd w:fill="1F3A5F" w:color="auto" w:val="clear"/>
            <w:tcMar>
              <w:top w:type="dxa" w:w="80"/>
              <w:left w:type="dxa" w:w="100"/>
              <w:bottom w:type="dxa" w:w="80"/>
              <w:right w:type="dxa" w:w="100"/>
            </w:tcMar>
          </w:tcPr>
          <w:p>
            <w:pPr>
              <w:jc w:val="left"/>
            </w:pPr>
            <w:r>
              <w:rPr>
                <w:b/>
                <w:bCs/>
                <w:color w:val="FFFFFF"/>
                <w:sz w:val="18"/>
                <w:szCs w:val="18"/>
              </w:rPr>
              <w:t xml:space="preserve">Period</w:t>
            </w:r>
          </w:p>
        </w:tc>
        <w:tc>
          <w:tcPr>
            <w:tcW w:type="dxa" w:w="2400"/>
            <w:shd w:fill="1F3A5F" w:color="auto" w:val="clear"/>
            <w:tcMar>
              <w:top w:type="dxa" w:w="80"/>
              <w:left w:type="dxa" w:w="100"/>
              <w:bottom w:type="dxa" w:w="80"/>
              <w:right w:type="dxa" w:w="100"/>
            </w:tcMar>
          </w:tcPr>
          <w:p>
            <w:pPr>
              <w:jc w:val="left"/>
            </w:pPr>
            <w:r>
              <w:rPr>
                <w:b/>
                <w:bCs/>
                <w:color w:val="FFFFFF"/>
                <w:sz w:val="18"/>
                <w:szCs w:val="18"/>
              </w:rPr>
              <w:t xml:space="preserve">Dates</w:t>
            </w:r>
          </w:p>
        </w:tc>
        <w:tc>
          <w:tcPr>
            <w:tcW w:type="dxa" w:w="4900"/>
            <w:shd w:fill="1F3A5F" w:color="auto" w:val="clear"/>
            <w:tcMar>
              <w:top w:type="dxa" w:w="80"/>
              <w:left w:type="dxa" w:w="100"/>
              <w:bottom w:type="dxa" w:w="80"/>
              <w:right w:type="dxa" w:w="100"/>
            </w:tcMar>
          </w:tcPr>
          <w:p>
            <w:pPr>
              <w:jc w:val="left"/>
            </w:pPr>
            <w:r>
              <w:rPr>
                <w:b/>
                <w:bCs/>
                <w:color w:val="FFFFFF"/>
                <w:sz w:val="18"/>
                <w:szCs w:val="18"/>
              </w:rPr>
              <w:t xml:space="preserve">Submission deadline</w:t>
            </w:r>
          </w:p>
        </w:tc>
      </w:tr>
      <w:tr>
        <w:tc>
          <w:tcPr>
            <w:tcW w:type="dxa" w:w="2446"/>
            <w:tcMar>
              <w:top w:type="dxa" w:w="80"/>
              <w:left w:type="dxa" w:w="100"/>
              <w:bottom w:type="dxa" w:w="80"/>
              <w:right w:type="dxa" w:w="100"/>
            </w:tcMar>
          </w:tcPr>
          <w:p>
            <w:pPr>
              <w:jc w:val="left"/>
            </w:pPr>
            <w:r>
              <w:rPr>
                <w:b w:val="false"/>
                <w:bCs w:val="false"/>
                <w:color w:val="202020"/>
                <w:sz w:val="18"/>
                <w:szCs w:val="18"/>
              </w:rPr>
              <w:t xml:space="preserve">Quarter 1</w:t>
            </w:r>
          </w:p>
        </w:tc>
        <w:tc>
          <w:tcPr>
            <w:tcW w:type="dxa" w:w="2400"/>
            <w:tcMar>
              <w:top w:type="dxa" w:w="80"/>
              <w:left w:type="dxa" w:w="100"/>
              <w:bottom w:type="dxa" w:w="80"/>
              <w:right w:type="dxa" w:w="100"/>
            </w:tcMar>
          </w:tcPr>
          <w:p>
            <w:pPr>
              <w:jc w:val="left"/>
            </w:pPr>
            <w:r>
              <w:rPr>
                <w:b w:val="false"/>
                <w:bCs w:val="false"/>
                <w:color w:val="202020"/>
                <w:sz w:val="18"/>
                <w:szCs w:val="18"/>
              </w:rPr>
              <w:t xml:space="preserve">6 April – 5 July</w:t>
            </w:r>
          </w:p>
        </w:tc>
        <w:tc>
          <w:tcPr>
            <w:tcW w:type="dxa" w:w="4900"/>
            <w:tcMar>
              <w:top w:type="dxa" w:w="80"/>
              <w:left w:type="dxa" w:w="100"/>
              <w:bottom w:type="dxa" w:w="80"/>
              <w:right w:type="dxa" w:w="100"/>
            </w:tcMar>
          </w:tcPr>
          <w:p>
            <w:pPr>
              <w:jc w:val="left"/>
            </w:pPr>
            <w:r>
              <w:rPr>
                <w:b w:val="false"/>
                <w:bCs w:val="false"/>
                <w:color w:val="202020"/>
                <w:sz w:val="18"/>
                <w:szCs w:val="18"/>
              </w:rPr>
              <w:t xml:space="preserve">7 August</w:t>
            </w:r>
          </w:p>
        </w:tc>
      </w:tr>
      <w:tr>
        <w:tc>
          <w:tcPr>
            <w:tcW w:type="dxa" w:w="2446"/>
            <w:shd w:fill="F2F2F2" w:color="auto" w:val="clear"/>
            <w:tcMar>
              <w:top w:type="dxa" w:w="80"/>
              <w:left w:type="dxa" w:w="100"/>
              <w:bottom w:type="dxa" w:w="80"/>
              <w:right w:type="dxa" w:w="100"/>
            </w:tcMar>
          </w:tcPr>
          <w:p>
            <w:pPr>
              <w:jc w:val="left"/>
            </w:pPr>
            <w:r>
              <w:rPr>
                <w:b w:val="false"/>
                <w:bCs w:val="false"/>
                <w:color w:val="202020"/>
                <w:sz w:val="18"/>
                <w:szCs w:val="18"/>
              </w:rPr>
              <w:t xml:space="preserve">Quarter 2</w:t>
            </w:r>
          </w:p>
        </w:tc>
        <w:tc>
          <w:tcPr>
            <w:tcW w:type="dxa" w:w="2400"/>
            <w:shd w:fill="F2F2F2" w:color="auto" w:val="clear"/>
            <w:tcMar>
              <w:top w:type="dxa" w:w="80"/>
              <w:left w:type="dxa" w:w="100"/>
              <w:bottom w:type="dxa" w:w="80"/>
              <w:right w:type="dxa" w:w="100"/>
            </w:tcMar>
          </w:tcPr>
          <w:p>
            <w:pPr>
              <w:jc w:val="left"/>
            </w:pPr>
            <w:r>
              <w:rPr>
                <w:b w:val="false"/>
                <w:bCs w:val="false"/>
                <w:color w:val="202020"/>
                <w:sz w:val="18"/>
                <w:szCs w:val="18"/>
              </w:rPr>
              <w:t xml:space="preserve">6 July – 5 October</w:t>
            </w:r>
          </w:p>
        </w:tc>
        <w:tc>
          <w:tcPr>
            <w:tcW w:type="dxa" w:w="4900"/>
            <w:shd w:fill="F2F2F2" w:color="auto" w:val="clear"/>
            <w:tcMar>
              <w:top w:type="dxa" w:w="80"/>
              <w:left w:type="dxa" w:w="100"/>
              <w:bottom w:type="dxa" w:w="80"/>
              <w:right w:type="dxa" w:w="100"/>
            </w:tcMar>
          </w:tcPr>
          <w:p>
            <w:pPr>
              <w:jc w:val="left"/>
            </w:pPr>
            <w:r>
              <w:rPr>
                <w:b w:val="false"/>
                <w:bCs w:val="false"/>
                <w:color w:val="202020"/>
                <w:sz w:val="18"/>
                <w:szCs w:val="18"/>
              </w:rPr>
              <w:t xml:space="preserve">7 November</w:t>
            </w:r>
          </w:p>
        </w:tc>
      </w:tr>
      <w:tr>
        <w:tc>
          <w:tcPr>
            <w:tcW w:type="dxa" w:w="2446"/>
            <w:tcMar>
              <w:top w:type="dxa" w:w="80"/>
              <w:left w:type="dxa" w:w="100"/>
              <w:bottom w:type="dxa" w:w="80"/>
              <w:right w:type="dxa" w:w="100"/>
            </w:tcMar>
          </w:tcPr>
          <w:p>
            <w:pPr>
              <w:jc w:val="left"/>
            </w:pPr>
            <w:r>
              <w:rPr>
                <w:b w:val="false"/>
                <w:bCs w:val="false"/>
                <w:color w:val="202020"/>
                <w:sz w:val="18"/>
                <w:szCs w:val="18"/>
              </w:rPr>
              <w:t xml:space="preserve">Quarter 3</w:t>
            </w:r>
          </w:p>
        </w:tc>
        <w:tc>
          <w:tcPr>
            <w:tcW w:type="dxa" w:w="2400"/>
            <w:tcMar>
              <w:top w:type="dxa" w:w="80"/>
              <w:left w:type="dxa" w:w="100"/>
              <w:bottom w:type="dxa" w:w="80"/>
              <w:right w:type="dxa" w:w="100"/>
            </w:tcMar>
          </w:tcPr>
          <w:p>
            <w:pPr>
              <w:jc w:val="left"/>
            </w:pPr>
            <w:r>
              <w:rPr>
                <w:b w:val="false"/>
                <w:bCs w:val="false"/>
                <w:color w:val="202020"/>
                <w:sz w:val="18"/>
                <w:szCs w:val="18"/>
              </w:rPr>
              <w:t xml:space="preserve">6 October – 5 January</w:t>
            </w:r>
          </w:p>
        </w:tc>
        <w:tc>
          <w:tcPr>
            <w:tcW w:type="dxa" w:w="4900"/>
            <w:tcMar>
              <w:top w:type="dxa" w:w="80"/>
              <w:left w:type="dxa" w:w="100"/>
              <w:bottom w:type="dxa" w:w="80"/>
              <w:right w:type="dxa" w:w="100"/>
            </w:tcMar>
          </w:tcPr>
          <w:p>
            <w:pPr>
              <w:jc w:val="left"/>
            </w:pPr>
            <w:r>
              <w:rPr>
                <w:b w:val="false"/>
                <w:bCs w:val="false"/>
                <w:color w:val="202020"/>
                <w:sz w:val="18"/>
                <w:szCs w:val="18"/>
              </w:rPr>
              <w:t xml:space="preserve">7 February</w:t>
            </w:r>
          </w:p>
        </w:tc>
      </w:tr>
      <w:tr>
        <w:tc>
          <w:tcPr>
            <w:tcW w:type="dxa" w:w="2446"/>
            <w:shd w:fill="F2F2F2" w:color="auto" w:val="clear"/>
            <w:tcMar>
              <w:top w:type="dxa" w:w="80"/>
              <w:left w:type="dxa" w:w="100"/>
              <w:bottom w:type="dxa" w:w="80"/>
              <w:right w:type="dxa" w:w="100"/>
            </w:tcMar>
          </w:tcPr>
          <w:p>
            <w:pPr>
              <w:jc w:val="left"/>
            </w:pPr>
            <w:r>
              <w:rPr>
                <w:b w:val="false"/>
                <w:bCs w:val="false"/>
                <w:color w:val="202020"/>
                <w:sz w:val="18"/>
                <w:szCs w:val="18"/>
              </w:rPr>
              <w:t xml:space="preserve">Quarter 4</w:t>
            </w:r>
          </w:p>
        </w:tc>
        <w:tc>
          <w:tcPr>
            <w:tcW w:type="dxa" w:w="2400"/>
            <w:shd w:fill="F2F2F2" w:color="auto" w:val="clear"/>
            <w:tcMar>
              <w:top w:type="dxa" w:w="80"/>
              <w:left w:type="dxa" w:w="100"/>
              <w:bottom w:type="dxa" w:w="80"/>
              <w:right w:type="dxa" w:w="100"/>
            </w:tcMar>
          </w:tcPr>
          <w:p>
            <w:pPr>
              <w:jc w:val="left"/>
            </w:pPr>
            <w:r>
              <w:rPr>
                <w:b w:val="false"/>
                <w:bCs w:val="false"/>
                <w:color w:val="202020"/>
                <w:sz w:val="18"/>
                <w:szCs w:val="18"/>
              </w:rPr>
              <w:t xml:space="preserve">6 January – 5 April</w:t>
            </w:r>
          </w:p>
        </w:tc>
        <w:tc>
          <w:tcPr>
            <w:tcW w:type="dxa" w:w="4900"/>
            <w:shd w:fill="F2F2F2" w:color="auto" w:val="clear"/>
            <w:tcMar>
              <w:top w:type="dxa" w:w="80"/>
              <w:left w:type="dxa" w:w="100"/>
              <w:bottom w:type="dxa" w:w="80"/>
              <w:right w:type="dxa" w:w="100"/>
            </w:tcMar>
          </w:tcPr>
          <w:p>
            <w:pPr>
              <w:jc w:val="left"/>
            </w:pPr>
            <w:r>
              <w:rPr>
                <w:b w:val="false"/>
                <w:bCs w:val="false"/>
                <w:color w:val="202020"/>
                <w:sz w:val="18"/>
                <w:szCs w:val="18"/>
              </w:rPr>
              <w:t xml:space="preserve">7 May (following tax year)</w:t>
            </w:r>
          </w:p>
        </w:tc>
      </w:tr>
    </w:tbl>
    <w:p>
      <w:pPr>
        <w:spacing w:after="150" w:line="300"/>
      </w:pPr>
      <w:r>
        <w:rPr>
          <w:color w:val="202020"/>
          <w:sz w:val="21"/>
          <w:szCs w:val="21"/>
        </w:rPr>
        <w:t xml:space="preserve">A calendar-quarter alternative (1 Apr-30 Jun, 1 Jul-30 Sep, 1 Oct-31 Dec, 1 Jan-31 Mar) is also permitted, with the same relative deadlines. Each quarterly update reports running totals of business income and expenses only, it is not a tax calculation or payment event in itself.</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8A1F2D" w:sz="4"/>
              <w:left w:val="single" w:color="8A1F2D" w:sz="4"/>
              <w:bottom w:val="single" w:color="8A1F2D" w:sz="4"/>
              <w:right w:val="single" w:color="8A1F2D" w:sz="4"/>
            </w:tcBorders>
            <w:shd w:fill="FCEEEE" w:color="auto" w:val="clear"/>
            <w:tcMar>
              <w:top w:type="dxa" w:w="140"/>
              <w:left w:type="dxa" w:w="200"/>
              <w:bottom w:type="dxa" w:w="140"/>
              <w:right w:type="dxa" w:w="200"/>
            </w:tcMar>
          </w:tcPr>
          <w:p>
            <w:pPr>
              <w:spacing w:after="60"/>
            </w:pPr>
            <w:r>
              <w:rPr>
                <w:b/>
                <w:bCs/>
                <w:color w:val="8A1F2D"/>
                <w:sz w:val="20"/>
                <w:szCs w:val="20"/>
              </w:rPr>
              <w:t xml:space="preserve">BUILD RULE 3.5.2</w:t>
            </w:r>
          </w:p>
          <w:p>
            <w:pPr>
              <w:spacing w:after="0"/>
            </w:pPr>
            <w:r>
              <w:rPr>
                <w:color w:val="202020"/>
                <w:sz w:val="20"/>
                <w:szCs w:val="20"/>
              </w:rPr>
              <w:t xml:space="preserve">These are four separate, non-overlapping three-month periods, not a cumulative running total that resets and re-accumulates from 6 April each time. Test this date logic explicitly, it is the easiest part of MTD ITSA to implement incorrectly.</w:t>
            </w:r>
          </w:p>
        </w:tc>
      </w:tr>
    </w:tbl>
    <w:p>
      <w:pPr>
        <w:pStyle w:val="Heading3"/>
        <w:spacing w:after="100" w:before="200"/>
      </w:pPr>
      <w:r>
        <w:t xml:space="preserve">3.5.3 End of Period Statement and Final Declaration</w:t>
      </w:r>
    </w:p>
    <w:p>
      <w:pPr>
        <w:spacing w:after="150" w:line="300"/>
      </w:pPr>
      <w:r>
        <w:rPr>
          <w:color w:val="202020"/>
          <w:sz w:val="21"/>
          <w:szCs w:val="21"/>
        </w:rPr>
        <w:t xml:space="preserve">An End of Period Statement (EOPS) was originally designed as a separate year-end confirmation step. In HMRC's live service this has been merged into the Final Declaration, there is no standalone EOPS submission to build.</w:t>
      </w:r>
    </w:p>
    <w:p>
      <w:pPr>
        <w:spacing w:after="150" w:line="300"/>
      </w:pPr>
      <w:r>
        <w:rPr>
          <w:color w:val="202020"/>
          <w:sz w:val="21"/>
          <w:szCs w:val="21"/>
        </w:rPr>
        <w:t xml:space="preserve">The Final Declaration is the single year-end submission that finalises the taxpayer's entire tax position, not just the quarterly-reported business income, it also incorporates employment income, dividends, interest, and any reliefs or allowances, and replaces the old SA100. It is due 31 January following the end of the tax year, the same date the SA100 deadline used to be.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8A1F2D" w:sz="4"/>
              <w:left w:val="single" w:color="8A1F2D" w:sz="4"/>
              <w:bottom w:val="single" w:color="8A1F2D" w:sz="4"/>
              <w:right w:val="single" w:color="8A1F2D" w:sz="4"/>
            </w:tcBorders>
            <w:shd w:fill="FCEEEE" w:color="auto" w:val="clear"/>
            <w:tcMar>
              <w:top w:type="dxa" w:w="140"/>
              <w:left w:type="dxa" w:w="200"/>
              <w:bottom w:type="dxa" w:w="140"/>
              <w:right w:type="dxa" w:w="200"/>
            </w:tcMar>
          </w:tcPr>
          <w:p>
            <w:pPr>
              <w:spacing w:after="60"/>
            </w:pPr>
            <w:r>
              <w:rPr>
                <w:b/>
                <w:bCs/>
                <w:color w:val="8A1F2D"/>
                <w:sz w:val="20"/>
                <w:szCs w:val="20"/>
              </w:rPr>
              <w:t xml:space="preserve">BUILD RULE 3.5.3</w:t>
            </w:r>
          </w:p>
          <w:p>
            <w:pPr>
              <w:spacing w:after="0"/>
            </w:pPr>
            <w:r>
              <w:rPr>
                <w:color w:val="202020"/>
                <w:sz w:val="20"/>
                <w:szCs w:val="20"/>
              </w:rPr>
              <w:t xml:space="preserve">Do not build a separate EOPS submission flow, current guidance confirms it has been folded into the Final Declaration. Structure the platform as: 4 quarterly updates (business figures only) feeding into 1 combined Final Declaration (whole-income finalisation) at year end. This entire mechanic is flagged in Section 3.9 as worth a direct double-check against the live HMRC service guide immediately before this module is built, since MTD ITSA's implementation details are still being finalised by HMRC as it rolls out.</w:t>
            </w:r>
          </w:p>
        </w:tc>
      </w:tr>
    </w:tbl>
    <w:p>
      <w:pPr>
        <w:pStyle w:val="Heading2"/>
        <w:spacing w:after="140" w:before="300"/>
      </w:pPr>
      <w:r>
        <w:t xml:space="preserve">3.6 Companies House</w:t>
      </w:r>
    </w:p>
    <w:p>
      <w:pPr>
        <w:pStyle w:val="Heading3"/>
        <w:spacing w:after="100" w:before="200"/>
      </w:pPr>
      <w:r>
        <w:t xml:space="preserve">3.6.1 Accounts filing deadline</w:t>
      </w:r>
    </w:p>
    <w:p>
      <w:pPr>
        <w:pStyle w:val="ListParagraph"/>
        <w:numPr>
          <w:ilvl w:val="0"/>
          <w:numId w:val="3"/>
        </w:numPr>
        <w:spacing w:after="90" w:line="290"/>
      </w:pPr>
      <w:r>
        <w:rPr>
          <w:color w:val="202020"/>
          <w:sz w:val="21"/>
          <w:szCs w:val="21"/>
        </w:rPr>
        <w:t xml:space="preserve">Ongoing years: 9 months after the accounting reference date (the end of the company's financial year), for private limited companies.</w:t>
      </w:r>
    </w:p>
    <w:p>
      <w:pPr>
        <w:pStyle w:val="ListParagraph"/>
        <w:numPr>
          <w:ilvl w:val="0"/>
          <w:numId w:val="3"/>
        </w:numPr>
        <w:spacing w:after="90" w:line="290"/>
      </w:pPr>
      <w:r>
        <w:rPr>
          <w:color w:val="202020"/>
          <w:sz w:val="21"/>
          <w:szCs w:val="21"/>
        </w:rPr>
        <w:t xml:space="preserve">First accounts: 21 months after the date of incorporation. Treat this as the primary rule in code; there is a possible edge case around the 9-months-from-ARD rule applying instead if it produces a later date, but this could not be fully confirmed from public guidance, see Section 3.9, verify with Companies House's own first-accounts calculator before finalising this specific logic.</w:t>
      </w:r>
    </w:p>
    <w:p>
      <w:pPr>
        <w:pStyle w:val="Heading3"/>
        <w:spacing w:after="100" w:before="200"/>
      </w:pPr>
      <w:r>
        <w:t xml:space="preserve">3.6.2 Late filing penalties, doubled on repeat</w:t>
      </w:r>
    </w:p>
    <w:tbl>
      <w:tblPr>
        <w:tblW w:type="dxa" w:w="9646"/>
        <w:tblBorders>
          <w:top w:val="single" w:color="auto" w:sz="4"/>
          <w:left w:val="single" w:color="auto" w:sz="4"/>
          <w:bottom w:val="single" w:color="auto" w:sz="4"/>
          <w:right w:val="single" w:color="auto" w:sz="4"/>
          <w:insideH w:val="single" w:color="auto" w:sz="4"/>
          <w:insideV w:val="single" w:color="auto" w:sz="4"/>
        </w:tblBorders>
      </w:tblPr>
      <w:tblGrid>
        <w:gridCol w:w="3200"/>
        <w:gridCol w:w="6446"/>
      </w:tblGrid>
      <w:tr>
        <w:trPr>
          <w:tblHeader/>
        </w:trPr>
        <w:tc>
          <w:tcPr>
            <w:tcW w:type="dxa" w:w="3200"/>
            <w:shd w:fill="1F3A5F" w:color="auto" w:val="clear"/>
            <w:tcMar>
              <w:top w:type="dxa" w:w="80"/>
              <w:left w:type="dxa" w:w="100"/>
              <w:bottom w:type="dxa" w:w="80"/>
              <w:right w:type="dxa" w:w="100"/>
            </w:tcMar>
          </w:tcPr>
          <w:p>
            <w:pPr>
              <w:jc w:val="left"/>
            </w:pPr>
            <w:r>
              <w:rPr>
                <w:b/>
                <w:bCs/>
                <w:color w:val="FFFFFF"/>
                <w:sz w:val="18"/>
                <w:szCs w:val="18"/>
              </w:rPr>
              <w:t xml:space="preserve">Lateness</w:t>
            </w:r>
          </w:p>
        </w:tc>
        <w:tc>
          <w:tcPr>
            <w:tcW w:type="dxa" w:w="6446"/>
            <w:shd w:fill="1F3A5F" w:color="auto" w:val="clear"/>
            <w:tcMar>
              <w:top w:type="dxa" w:w="80"/>
              <w:left w:type="dxa" w:w="100"/>
              <w:bottom w:type="dxa" w:w="80"/>
              <w:right w:type="dxa" w:w="100"/>
            </w:tcMar>
          </w:tcPr>
          <w:p>
            <w:pPr>
              <w:jc w:val="left"/>
            </w:pPr>
            <w:r>
              <w:rPr>
                <w:b/>
                <w:bCs/>
                <w:color w:val="FFFFFF"/>
                <w:sz w:val="18"/>
                <w:szCs w:val="18"/>
              </w:rPr>
              <w:t xml:space="preserve">Penalty, private companies</w:t>
            </w:r>
          </w:p>
        </w:tc>
      </w:tr>
      <w:tr>
        <w:tc>
          <w:tcPr>
            <w:tcW w:type="dxa" w:w="3200"/>
            <w:tcMar>
              <w:top w:type="dxa" w:w="80"/>
              <w:left w:type="dxa" w:w="100"/>
              <w:bottom w:type="dxa" w:w="80"/>
              <w:right w:type="dxa" w:w="100"/>
            </w:tcMar>
          </w:tcPr>
          <w:p>
            <w:pPr>
              <w:jc w:val="left"/>
            </w:pPr>
            <w:r>
              <w:rPr>
                <w:b w:val="false"/>
                <w:bCs w:val="false"/>
                <w:color w:val="202020"/>
                <w:sz w:val="18"/>
                <w:szCs w:val="18"/>
              </w:rPr>
              <w:t xml:space="preserve">Up to 1 month late</w:t>
            </w:r>
          </w:p>
        </w:tc>
        <w:tc>
          <w:tcPr>
            <w:tcW w:type="dxa" w:w="6446"/>
            <w:tcMar>
              <w:top w:type="dxa" w:w="80"/>
              <w:left w:type="dxa" w:w="100"/>
              <w:bottom w:type="dxa" w:w="80"/>
              <w:right w:type="dxa" w:w="100"/>
            </w:tcMar>
          </w:tcPr>
          <w:p>
            <w:pPr>
              <w:jc w:val="left"/>
            </w:pPr>
            <w:r>
              <w:rPr>
                <w:b w:val="false"/>
                <w:bCs w:val="false"/>
                <w:color w:val="202020"/>
                <w:sz w:val="18"/>
                <w:szCs w:val="18"/>
              </w:rPr>
              <w:t xml:space="preserve">£150</w:t>
            </w:r>
          </w:p>
        </w:tc>
      </w:tr>
      <w:tr>
        <w:tc>
          <w:tcPr>
            <w:tcW w:type="dxa" w:w="3200"/>
            <w:shd w:fill="F2F2F2" w:color="auto" w:val="clear"/>
            <w:tcMar>
              <w:top w:type="dxa" w:w="80"/>
              <w:left w:type="dxa" w:w="100"/>
              <w:bottom w:type="dxa" w:w="80"/>
              <w:right w:type="dxa" w:w="100"/>
            </w:tcMar>
          </w:tcPr>
          <w:p>
            <w:pPr>
              <w:jc w:val="left"/>
            </w:pPr>
            <w:r>
              <w:rPr>
                <w:b w:val="false"/>
                <w:bCs w:val="false"/>
                <w:color w:val="202020"/>
                <w:sz w:val="18"/>
                <w:szCs w:val="18"/>
              </w:rPr>
              <w:t xml:space="preserve">1 to 3 months late</w:t>
            </w:r>
          </w:p>
        </w:tc>
        <w:tc>
          <w:tcPr>
            <w:tcW w:type="dxa" w:w="6446"/>
            <w:shd w:fill="F2F2F2" w:color="auto" w:val="clear"/>
            <w:tcMar>
              <w:top w:type="dxa" w:w="80"/>
              <w:left w:type="dxa" w:w="100"/>
              <w:bottom w:type="dxa" w:w="80"/>
              <w:right w:type="dxa" w:w="100"/>
            </w:tcMar>
          </w:tcPr>
          <w:p>
            <w:pPr>
              <w:jc w:val="left"/>
            </w:pPr>
            <w:r>
              <w:rPr>
                <w:b w:val="false"/>
                <w:bCs w:val="false"/>
                <w:color w:val="202020"/>
                <w:sz w:val="18"/>
                <w:szCs w:val="18"/>
              </w:rPr>
              <w:t xml:space="preserve">£375</w:t>
            </w:r>
          </w:p>
        </w:tc>
      </w:tr>
      <w:tr>
        <w:tc>
          <w:tcPr>
            <w:tcW w:type="dxa" w:w="3200"/>
            <w:tcMar>
              <w:top w:type="dxa" w:w="80"/>
              <w:left w:type="dxa" w:w="100"/>
              <w:bottom w:type="dxa" w:w="80"/>
              <w:right w:type="dxa" w:w="100"/>
            </w:tcMar>
          </w:tcPr>
          <w:p>
            <w:pPr>
              <w:jc w:val="left"/>
            </w:pPr>
            <w:r>
              <w:rPr>
                <w:b w:val="false"/>
                <w:bCs w:val="false"/>
                <w:color w:val="202020"/>
                <w:sz w:val="18"/>
                <w:szCs w:val="18"/>
              </w:rPr>
              <w:t xml:space="preserve">3 to 6 months late</w:t>
            </w:r>
          </w:p>
        </w:tc>
        <w:tc>
          <w:tcPr>
            <w:tcW w:type="dxa" w:w="6446"/>
            <w:tcMar>
              <w:top w:type="dxa" w:w="80"/>
              <w:left w:type="dxa" w:w="100"/>
              <w:bottom w:type="dxa" w:w="80"/>
              <w:right w:type="dxa" w:w="100"/>
            </w:tcMar>
          </w:tcPr>
          <w:p>
            <w:pPr>
              <w:jc w:val="left"/>
            </w:pPr>
            <w:r>
              <w:rPr>
                <w:b w:val="false"/>
                <w:bCs w:val="false"/>
                <w:color w:val="202020"/>
                <w:sz w:val="18"/>
                <w:szCs w:val="18"/>
              </w:rPr>
              <w:t xml:space="preserve">£750</w:t>
            </w:r>
          </w:p>
        </w:tc>
      </w:tr>
      <w:tr>
        <w:tc>
          <w:tcPr>
            <w:tcW w:type="dxa" w:w="3200"/>
            <w:shd w:fill="F2F2F2" w:color="auto" w:val="clear"/>
            <w:tcMar>
              <w:top w:type="dxa" w:w="80"/>
              <w:left w:type="dxa" w:w="100"/>
              <w:bottom w:type="dxa" w:w="80"/>
              <w:right w:type="dxa" w:w="100"/>
            </w:tcMar>
          </w:tcPr>
          <w:p>
            <w:pPr>
              <w:jc w:val="left"/>
            </w:pPr>
            <w:r>
              <w:rPr>
                <w:b w:val="false"/>
                <w:bCs w:val="false"/>
                <w:color w:val="202020"/>
                <w:sz w:val="18"/>
                <w:szCs w:val="18"/>
              </w:rPr>
              <w:t xml:space="preserve">More than 6 months late</w:t>
            </w:r>
          </w:p>
        </w:tc>
        <w:tc>
          <w:tcPr>
            <w:tcW w:type="dxa" w:w="6446"/>
            <w:shd w:fill="F2F2F2" w:color="auto" w:val="clear"/>
            <w:tcMar>
              <w:top w:type="dxa" w:w="80"/>
              <w:left w:type="dxa" w:w="100"/>
              <w:bottom w:type="dxa" w:w="80"/>
              <w:right w:type="dxa" w:w="100"/>
            </w:tcMar>
          </w:tcPr>
          <w:p>
            <w:pPr>
              <w:jc w:val="left"/>
            </w:pPr>
            <w:r>
              <w:rPr>
                <w:b w:val="false"/>
                <w:bCs w:val="false"/>
                <w:color w:val="202020"/>
                <w:sz w:val="18"/>
                <w:szCs w:val="18"/>
              </w:rPr>
              <w:t xml:space="preserve">£1,500</w:t>
            </w:r>
          </w:p>
        </w:tc>
      </w:tr>
    </w:tbl>
    <w:p>
      <w:pPr>
        <w:spacing w:after="220" w:before="60"/>
      </w:pPr>
      <w:r>
        <w:rPr>
          <w:i/>
          <w:iCs/>
          <w:color w:val="595959"/>
          <w:sz w:val="17"/>
          <w:szCs w:val="17"/>
        </w:rPr>
        <w:t xml:space="preserve">Penalties double if accounts are filed late in two consecutive financial years. Source: gov.uk penalties for late filing.</w:t>
      </w:r>
    </w:p>
    <w:p>
      <w:pPr>
        <w:pStyle w:val="Heading3"/>
        <w:spacing w:after="100" w:before="200"/>
      </w:pPr>
      <w:r>
        <w:t xml:space="preserve">3.6.3 Confirmation statement</w:t>
      </w:r>
    </w:p>
    <w:p>
      <w:pPr>
        <w:pStyle w:val="ListParagraph"/>
        <w:numPr>
          <w:ilvl w:val="0"/>
          <w:numId w:val="3"/>
        </w:numPr>
        <w:spacing w:after="90" w:line="290"/>
      </w:pPr>
      <w:r>
        <w:rPr>
          <w:color w:val="202020"/>
          <w:sz w:val="21"/>
          <w:szCs w:val="21"/>
        </w:rPr>
        <w:t xml:space="preserve">Must be filed at least once every 12 months, for every company including dormant and non-trading ones.</w:t>
      </w:r>
    </w:p>
    <w:p>
      <w:pPr>
        <w:pStyle w:val="ListParagraph"/>
        <w:numPr>
          <w:ilvl w:val="0"/>
          <w:numId w:val="3"/>
        </w:numPr>
        <w:spacing w:after="90" w:line="290"/>
      </w:pPr>
      <w:r>
        <w:rPr>
          <w:color w:val="202020"/>
          <w:sz w:val="21"/>
          <w:szCs w:val="21"/>
        </w:rPr>
        <w:t xml:space="preserve">Filing fee: £50 online (confirmed current rate from 1 February 2026), £110 by paper.</w:t>
      </w:r>
    </w:p>
    <w:p>
      <w:pPr>
        <w:pStyle w:val="ListParagraph"/>
        <w:numPr>
          <w:ilvl w:val="0"/>
          <w:numId w:val="3"/>
        </w:numPr>
        <w:spacing w:after="90" w:line="290"/>
      </w:pPr>
      <w:r>
        <w:rPr>
          <w:color w:val="202020"/>
          <w:sz w:val="21"/>
          <w:szCs w:val="21"/>
        </w:rPr>
        <w:t xml:space="preserve">Confirms or updates: directors and secretary, PSCs (persons with significant control), registered office, registered email address, SIC code, statement of capital, and shareholder information. Directors and PSCs must also complete identity verification as part of the filing regime now in force.</w:t>
      </w:r>
    </w:p>
    <w:p>
      <w:pPr>
        <w:pStyle w:val="Heading3"/>
        <w:spacing w:after="100" w:before="200"/>
      </w:pPr>
      <w:r>
        <w:t xml:space="preserve">3.6.4 Size thresholds, for accounting periods starting on or after 6 April 2025</w:t>
      </w:r>
    </w:p>
    <w:p>
      <w:pPr>
        <w:pStyle w:val="ListParagraph"/>
        <w:numPr>
          <w:ilvl w:val="0"/>
          <w:numId w:val="3"/>
        </w:numPr>
        <w:spacing w:after="90" w:line="290"/>
      </w:pPr>
      <w:r>
        <w:rPr>
          <w:color w:val="202020"/>
          <w:sz w:val="21"/>
          <w:szCs w:val="21"/>
        </w:rPr>
        <w:t xml:space="preserve">Micro-entity: meets at least 2 of 3: turnover £1,000,000 or below; balance sheet total £500,000 or below; average employees 10 or fewer.</w:t>
      </w:r>
    </w:p>
    <w:p>
      <w:pPr>
        <w:pStyle w:val="ListParagraph"/>
        <w:numPr>
          <w:ilvl w:val="0"/>
          <w:numId w:val="3"/>
        </w:numPr>
        <w:spacing w:after="90" w:line="290"/>
      </w:pPr>
      <w:r>
        <w:rPr>
          <w:color w:val="202020"/>
          <w:sz w:val="21"/>
          <w:szCs w:val="21"/>
        </w:rPr>
        <w:t xml:space="preserve">Small company: meets at least 2 of 3: turnover £15,000,000 or below; balance sheet total £7,500,000 or below; average employees 50 or fewer.</w:t>
      </w:r>
    </w:p>
    <w:p>
      <w:pPr>
        <w:pStyle w:val="Heading3"/>
        <w:spacing w:after="100" w:before="200"/>
      </w:pPr>
      <w:r>
        <w:t xml:space="preserve">3.6.5 iXBRL tagging</w:t>
      </w:r>
    </w:p>
    <w:p>
      <w:pPr>
        <w:spacing w:after="150" w:line="300"/>
      </w:pPr>
      <w:r>
        <w:rPr>
          <w:color w:val="202020"/>
          <w:sz w:val="21"/>
          <w:szCs w:val="21"/>
        </w:rPr>
        <w:t xml:space="preserve">Accounts prepared under FRS 105 (micro-entities) and FRS 102 Section 1A (small companies) are both tagged against the FRC's published accounts taxonomy, with different tag sets applying to each standard's disclosure requirements. All companies are currently required to provide fully tagged data against the appropriate taxonomy, there is no longer a size-based exemption from tagging depth, though micro-entities under FRS 105 simply have fewer notes and line items to tag in the first place.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8A1F2D" w:sz="4"/>
              <w:left w:val="single" w:color="8A1F2D" w:sz="4"/>
              <w:bottom w:val="single" w:color="8A1F2D" w:sz="4"/>
              <w:right w:val="single" w:color="8A1F2D" w:sz="4"/>
            </w:tcBorders>
            <w:shd w:fill="FCEEEE" w:color="auto" w:val="clear"/>
            <w:tcMar>
              <w:top w:type="dxa" w:w="140"/>
              <w:left w:type="dxa" w:w="200"/>
              <w:bottom w:type="dxa" w:w="140"/>
              <w:right w:type="dxa" w:w="200"/>
            </w:tcMar>
          </w:tcPr>
          <w:p>
            <w:pPr>
              <w:spacing w:after="60"/>
            </w:pPr>
            <w:r>
              <w:rPr>
                <w:b/>
                <w:bCs/>
                <w:color w:val="8A1F2D"/>
                <w:sz w:val="20"/>
                <w:szCs w:val="20"/>
              </w:rPr>
              <w:t xml:space="preserve">BUILD RULE 3.6.5</w:t>
            </w:r>
          </w:p>
          <w:p>
            <w:pPr>
              <w:spacing w:after="0"/>
            </w:pPr>
            <w:r>
              <w:rPr>
                <w:color w:val="202020"/>
                <w:sz w:val="20"/>
                <w:szCs w:val="20"/>
              </w:rPr>
              <w:t xml:space="preserve">The precise rules for which specific tags apply to which line items, and the exact mechanics of text-block tagging for narrative notes versus granular numeric tagging for primary statement figures, could not be fully confirmed from public gov.uk sources alone. Commission a specific iXBRL taxonomy and tagging-rules review from an accredited source (for example via XBRL UK or an accredited software supplier) before the tagging engine is built. This is flagged again in Section 3.9, it is filing-critical.</w:t>
            </w:r>
          </w:p>
        </w:tc>
      </w:tr>
    </w:tbl>
    <w:p>
      <w:pPr>
        <w:pStyle w:val="Heading2"/>
        <w:spacing w:after="140" w:before="300"/>
      </w:pPr>
      <w:r>
        <w:t xml:space="preserve">3.7 Data Protection (UK GDPR / ICO)</w:t>
      </w:r>
    </w:p>
    <w:p>
      <w:pPr>
        <w:spacing w:after="150" w:line="300"/>
      </w:pPr>
      <w:r>
        <w:rPr>
          <w:color w:val="202020"/>
          <w:sz w:val="21"/>
          <w:szCs w:val="21"/>
        </w:rPr>
        <w:t xml:space="preserve">The platform will hold personal financial data for every user, this brings the full weight of UK GDPR into scope from day one, not as a later add-on.</w:t>
      </w:r>
    </w:p>
    <w:p>
      <w:pPr>
        <w:pStyle w:val="Heading3"/>
        <w:spacing w:after="100" w:before="200"/>
      </w:pPr>
      <w:r>
        <w:t xml:space="preserve">3.7.1 ICO registration fee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2900"/>
        <w:gridCol w:w="4646"/>
      </w:tblGrid>
      <w:tr>
        <w:trPr>
          <w:tblHeader/>
        </w:trPr>
        <w:tc>
          <w:tcPr>
            <w:tcW w:type="dxa" w:w="2200"/>
            <w:shd w:fill="1F3A5F" w:color="auto" w:val="clear"/>
            <w:tcMar>
              <w:top w:type="dxa" w:w="80"/>
              <w:left w:type="dxa" w:w="100"/>
              <w:bottom w:type="dxa" w:w="80"/>
              <w:right w:type="dxa" w:w="100"/>
            </w:tcMar>
          </w:tcPr>
          <w:p>
            <w:pPr>
              <w:jc w:val="left"/>
            </w:pPr>
            <w:r>
              <w:rPr>
                <w:b/>
                <w:bCs/>
                <w:color w:val="FFFFFF"/>
                <w:sz w:val="18"/>
                <w:szCs w:val="18"/>
              </w:rPr>
              <w:t xml:space="preserve">Tier</w:t>
            </w:r>
          </w:p>
        </w:tc>
        <w:tc>
          <w:tcPr>
            <w:tcW w:type="dxa" w:w="2900"/>
            <w:shd w:fill="1F3A5F" w:color="auto" w:val="clear"/>
            <w:tcMar>
              <w:top w:type="dxa" w:w="80"/>
              <w:left w:type="dxa" w:w="100"/>
              <w:bottom w:type="dxa" w:w="80"/>
              <w:right w:type="dxa" w:w="100"/>
            </w:tcMar>
          </w:tcPr>
          <w:p>
            <w:pPr>
              <w:jc w:val="left"/>
            </w:pPr>
            <w:r>
              <w:rPr>
                <w:b/>
                <w:bCs/>
                <w:color w:val="FFFFFF"/>
                <w:sz w:val="18"/>
                <w:szCs w:val="18"/>
              </w:rPr>
              <w:t xml:space="preserve">Annual fee</w:t>
            </w:r>
          </w:p>
        </w:tc>
        <w:tc>
          <w:tcPr>
            <w:tcW w:type="dxa" w:w="4646"/>
            <w:shd w:fill="1F3A5F" w:color="auto" w:val="clear"/>
            <w:tcMar>
              <w:top w:type="dxa" w:w="80"/>
              <w:left w:type="dxa" w:w="100"/>
              <w:bottom w:type="dxa" w:w="80"/>
              <w:right w:type="dxa" w:w="100"/>
            </w:tcMar>
          </w:tcPr>
          <w:p>
            <w:pPr>
              <w:jc w:val="left"/>
            </w:pPr>
            <w:r>
              <w:rPr>
                <w:b/>
                <w:bCs/>
                <w:color w:val="FFFFFF"/>
                <w:sz w:val="18"/>
                <w:szCs w:val="18"/>
              </w:rPr>
              <w:t xml:space="preserve">Applies to</w:t>
            </w:r>
          </w:p>
        </w:tc>
      </w:tr>
      <w:tr>
        <w:tc>
          <w:tcPr>
            <w:tcW w:type="dxa" w:w="2200"/>
            <w:tcMar>
              <w:top w:type="dxa" w:w="80"/>
              <w:left w:type="dxa" w:w="100"/>
              <w:bottom w:type="dxa" w:w="80"/>
              <w:right w:type="dxa" w:w="100"/>
            </w:tcMar>
          </w:tcPr>
          <w:p>
            <w:pPr>
              <w:jc w:val="left"/>
            </w:pPr>
            <w:r>
              <w:rPr>
                <w:b w:val="false"/>
                <w:bCs w:val="false"/>
                <w:color w:val="202020"/>
                <w:sz w:val="18"/>
                <w:szCs w:val="18"/>
              </w:rPr>
              <w:t xml:space="preserve">Tier 1</w:t>
            </w:r>
          </w:p>
        </w:tc>
        <w:tc>
          <w:tcPr>
            <w:tcW w:type="dxa" w:w="2900"/>
            <w:tcMar>
              <w:top w:type="dxa" w:w="80"/>
              <w:left w:type="dxa" w:w="100"/>
              <w:bottom w:type="dxa" w:w="80"/>
              <w:right w:type="dxa" w:w="100"/>
            </w:tcMar>
          </w:tcPr>
          <w:p>
            <w:pPr>
              <w:jc w:val="left"/>
            </w:pPr>
            <w:r>
              <w:rPr>
                <w:b w:val="false"/>
                <w:bCs w:val="false"/>
                <w:color w:val="202020"/>
                <w:sz w:val="18"/>
                <w:szCs w:val="18"/>
              </w:rPr>
              <w:t xml:space="preserve">£52/year (£5 Direct Debit discount)</w:t>
            </w:r>
          </w:p>
        </w:tc>
        <w:tc>
          <w:tcPr>
            <w:tcW w:type="dxa" w:w="4646"/>
            <w:tcMar>
              <w:top w:type="dxa" w:w="80"/>
              <w:left w:type="dxa" w:w="100"/>
              <w:bottom w:type="dxa" w:w="80"/>
              <w:right w:type="dxa" w:w="100"/>
            </w:tcMar>
          </w:tcPr>
          <w:p>
            <w:pPr>
              <w:jc w:val="left"/>
            </w:pPr>
            <w:r>
              <w:rPr>
                <w:b w:val="false"/>
                <w:bCs w:val="false"/>
                <w:color w:val="202020"/>
                <w:sz w:val="18"/>
                <w:szCs w:val="18"/>
              </w:rPr>
              <w:t xml:space="preserve">Micro-organisations: turnover £632,000 or below, or 10 staff or fewer</w:t>
            </w:r>
          </w:p>
        </w:tc>
      </w:tr>
      <w:tr>
        <w:tc>
          <w:tcPr>
            <w:tcW w:type="dxa" w:w="2200"/>
            <w:shd w:fill="F2F2F2" w:color="auto" w:val="clear"/>
            <w:tcMar>
              <w:top w:type="dxa" w:w="80"/>
              <w:left w:type="dxa" w:w="100"/>
              <w:bottom w:type="dxa" w:w="80"/>
              <w:right w:type="dxa" w:w="100"/>
            </w:tcMar>
          </w:tcPr>
          <w:p>
            <w:pPr>
              <w:jc w:val="left"/>
            </w:pPr>
            <w:r>
              <w:rPr>
                <w:b w:val="false"/>
                <w:bCs w:val="false"/>
                <w:color w:val="202020"/>
                <w:sz w:val="18"/>
                <w:szCs w:val="18"/>
              </w:rPr>
              <w:t xml:space="preserve">Tier 2</w:t>
            </w:r>
          </w:p>
        </w:tc>
        <w:tc>
          <w:tcPr>
            <w:tcW w:type="dxa" w:w="2900"/>
            <w:shd w:fill="F2F2F2" w:color="auto" w:val="clear"/>
            <w:tcMar>
              <w:top w:type="dxa" w:w="80"/>
              <w:left w:type="dxa" w:w="100"/>
              <w:bottom w:type="dxa" w:w="80"/>
              <w:right w:type="dxa" w:w="100"/>
            </w:tcMar>
          </w:tcPr>
          <w:p>
            <w:pPr>
              <w:jc w:val="left"/>
            </w:pPr>
            <w:r>
              <w:rPr>
                <w:b w:val="false"/>
                <w:bCs w:val="false"/>
                <w:color w:val="202020"/>
                <w:sz w:val="18"/>
                <w:szCs w:val="18"/>
              </w:rPr>
              <w:t xml:space="preserve">£78/year</w:t>
            </w:r>
          </w:p>
        </w:tc>
        <w:tc>
          <w:tcPr>
            <w:tcW w:type="dxa" w:w="4646"/>
            <w:shd w:fill="F2F2F2" w:color="auto" w:val="clear"/>
            <w:tcMar>
              <w:top w:type="dxa" w:w="80"/>
              <w:left w:type="dxa" w:w="100"/>
              <w:bottom w:type="dxa" w:w="80"/>
              <w:right w:type="dxa" w:w="100"/>
            </w:tcMar>
          </w:tcPr>
          <w:p>
            <w:pPr>
              <w:jc w:val="left"/>
            </w:pPr>
            <w:r>
              <w:rPr>
                <w:b w:val="false"/>
                <w:bCs w:val="false"/>
                <w:color w:val="202020"/>
                <w:sz w:val="18"/>
                <w:szCs w:val="18"/>
              </w:rPr>
              <w:t xml:space="preserve">Turnover £36m or below, or 250 staff or fewer</w:t>
            </w:r>
          </w:p>
        </w:tc>
      </w:tr>
      <w:tr>
        <w:tc>
          <w:tcPr>
            <w:tcW w:type="dxa" w:w="2200"/>
            <w:tcMar>
              <w:top w:type="dxa" w:w="80"/>
              <w:left w:type="dxa" w:w="100"/>
              <w:bottom w:type="dxa" w:w="80"/>
              <w:right w:type="dxa" w:w="100"/>
            </w:tcMar>
          </w:tcPr>
          <w:p>
            <w:pPr>
              <w:jc w:val="left"/>
            </w:pPr>
            <w:r>
              <w:rPr>
                <w:b w:val="false"/>
                <w:bCs w:val="false"/>
                <w:color w:val="202020"/>
                <w:sz w:val="18"/>
                <w:szCs w:val="18"/>
              </w:rPr>
              <w:t xml:space="preserve">Tier 3</w:t>
            </w:r>
          </w:p>
        </w:tc>
        <w:tc>
          <w:tcPr>
            <w:tcW w:type="dxa" w:w="2900"/>
            <w:tcMar>
              <w:top w:type="dxa" w:w="80"/>
              <w:left w:type="dxa" w:w="100"/>
              <w:bottom w:type="dxa" w:w="80"/>
              <w:right w:type="dxa" w:w="100"/>
            </w:tcMar>
          </w:tcPr>
          <w:p>
            <w:pPr>
              <w:jc w:val="left"/>
            </w:pPr>
            <w:r>
              <w:rPr>
                <w:b w:val="false"/>
                <w:bCs w:val="false"/>
                <w:color w:val="202020"/>
                <w:sz w:val="18"/>
                <w:szCs w:val="18"/>
              </w:rPr>
              <w:t xml:space="preserve">£3,763/year</w:t>
            </w:r>
          </w:p>
        </w:tc>
        <w:tc>
          <w:tcPr>
            <w:tcW w:type="dxa" w:w="4646"/>
            <w:tcMar>
              <w:top w:type="dxa" w:w="80"/>
              <w:left w:type="dxa" w:w="100"/>
              <w:bottom w:type="dxa" w:w="80"/>
              <w:right w:type="dxa" w:w="100"/>
            </w:tcMar>
          </w:tcPr>
          <w:p>
            <w:pPr>
              <w:jc w:val="left"/>
            </w:pPr>
            <w:r>
              <w:rPr>
                <w:b w:val="false"/>
                <w:bCs w:val="false"/>
                <w:color w:val="202020"/>
                <w:sz w:val="18"/>
                <w:szCs w:val="18"/>
              </w:rPr>
              <w:t xml:space="preserve">Larger organisations</w:t>
            </w:r>
          </w:p>
        </w:tc>
      </w:tr>
    </w:tbl>
    <w:p>
      <w:pPr>
        <w:pStyle w:val="Heading3"/>
        <w:spacing w:after="100" w:before="200"/>
      </w:pPr>
      <w:r>
        <w:t xml:space="preserve">3.7.2 Core technical/organisational obligations</w:t>
      </w:r>
    </w:p>
    <w:p>
      <w:pPr>
        <w:pStyle w:val="ListParagraph"/>
        <w:numPr>
          <w:ilvl w:val="0"/>
          <w:numId w:val="3"/>
        </w:numPr>
        <w:spacing w:after="90" w:line="290"/>
      </w:pPr>
      <w:r>
        <w:rPr>
          <w:color w:val="202020"/>
          <w:sz w:val="21"/>
          <w:szCs w:val="21"/>
        </w:rPr>
        <w:t xml:space="preserve">Breach notification: a notifiable personal data breach must be reported to the ICO within 72 hours of the company becoming aware of it. Affected individuals must also be told without undue delay if the breach poses high risk to them.</w:t>
      </w:r>
    </w:p>
    <w:p>
      <w:pPr>
        <w:pStyle w:val="ListParagraph"/>
        <w:numPr>
          <w:ilvl w:val="0"/>
          <w:numId w:val="3"/>
        </w:numPr>
        <w:spacing w:after="90" w:line="290"/>
      </w:pPr>
      <w:r>
        <w:rPr>
          <w:color w:val="202020"/>
          <w:sz w:val="21"/>
          <w:szCs w:val="21"/>
        </w:rPr>
        <w:t xml:space="preserve">Right to erasure: users can request deletion of their personal data in defined circumstances, though financial and accounting records are often subject to statutory retention periods under the Companies Act and tax record-keeping rules that lawfully override an erasure request for that specific data. Build a retention-period override into the deletion logic rather than an unconditional delete.</w:t>
      </w:r>
    </w:p>
    <w:p>
      <w:pPr>
        <w:pStyle w:val="ListParagraph"/>
        <w:numPr>
          <w:ilvl w:val="0"/>
          <w:numId w:val="3"/>
        </w:numPr>
        <w:spacing w:after="90" w:line="290"/>
      </w:pPr>
      <w:r>
        <w:rPr>
          <w:color w:val="202020"/>
          <w:sz w:val="21"/>
          <w:szCs w:val="21"/>
        </w:rPr>
        <w:t xml:space="preserve">Data Protection Impact Assessment (DPIA): required for processing likely to result in high risk to individuals. A platform holding financial data at scale for many users should treat a DPIA as required practice, not optional, before launch.</w:t>
      </w:r>
    </w:p>
    <w:p>
      <w:pPr>
        <w:pStyle w:val="ListParagraph"/>
        <w:numPr>
          <w:ilvl w:val="0"/>
          <w:numId w:val="3"/>
        </w:numPr>
        <w:spacing w:after="90" w:line="290"/>
      </w:pPr>
      <w:r>
        <w:rPr>
          <w:color w:val="202020"/>
          <w:sz w:val="21"/>
          <w:szCs w:val="21"/>
        </w:rPr>
        <w:t xml:space="preserve">Encryption and access controls: UK GDPR requires "appropriate technical and organisational measures." In practice this means encryption of personal data at rest and in transit, strict access controls, and regular security testing, the law does not mandate a specific algorithm, but encryption is the baseline expectation for this category of data.</w:t>
      </w:r>
    </w:p>
    <w:p>
      <w:pPr>
        <w:pStyle w:val="Heading2"/>
        <w:spacing w:after="140" w:before="300"/>
      </w:pPr>
      <w:r>
        <w:t xml:space="preserve">3.8 Anti-Money Laundering: the model decision that changes everything else in this section</w:t>
      </w:r>
    </w:p>
    <w:p>
      <w:pPr>
        <w:spacing w:after="150" w:line="300"/>
      </w:pPr>
      <w:r>
        <w:rPr>
          <w:color w:val="202020"/>
          <w:sz w:val="21"/>
          <w:szCs w:val="21"/>
        </w:rPr>
        <w:t xml:space="preserve">This platform is being built as self-filer software: the end user enters their own figures and the software transmits the return under their own HMRC credentials. The platform is not acting as the user's tax agent.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8A1F2D" w:sz="4"/>
              <w:left w:val="single" w:color="8A1F2D" w:sz="4"/>
              <w:bottom w:val="single" w:color="8A1F2D" w:sz="4"/>
              <w:right w:val="single" w:color="8A1F2D" w:sz="4"/>
            </w:tcBorders>
            <w:shd w:fill="FCEEEE" w:color="auto" w:val="clear"/>
            <w:tcMar>
              <w:top w:type="dxa" w:w="140"/>
              <w:left w:type="dxa" w:w="200"/>
              <w:bottom w:type="dxa" w:w="140"/>
              <w:right w:type="dxa" w:w="200"/>
            </w:tcMar>
          </w:tcPr>
          <w:p>
            <w:pPr>
              <w:spacing w:after="60"/>
            </w:pPr>
            <w:r>
              <w:rPr>
                <w:b/>
                <w:bCs/>
                <w:color w:val="8A1F2D"/>
                <w:sz w:val="20"/>
                <w:szCs w:val="20"/>
              </w:rPr>
              <w:t xml:space="preserve">BUILD RULE 3.8, product-defining, not just a compliance footnote</w:t>
            </w:r>
          </w:p>
          <w:p>
            <w:pPr>
              <w:spacing w:after="0"/>
            </w:pPr>
            <w:r>
              <w:rPr>
                <w:color w:val="202020"/>
                <w:sz w:val="20"/>
                <w:szCs w:val="20"/>
              </w:rPr>
              <w:t xml:space="preserve">Because this is self-filer software rather than an agent-filing service, the platform is very likely outside the scope of the Money Laundering Regulations 2017, no HMRC Agent Services Account and no AML supervision registration should be required for the core product. This must be confirmed in writing by a solicitor or HMRC's AML supervision team before launch, not assumed. If a future "file on behalf of the client" agent mode is added (see Section 4.7, practice/accountant tier), that mode brings full AML supervision back into scope and needs its own compliance review before it ships, treat it as a separate regulatory product, not a pricing tier bolted onto the same legal entity casually.</w:t>
            </w:r>
          </w:p>
        </w:tc>
      </w:tr>
    </w:tbl>
    <w:p>
      <w:pPr>
        <w:pStyle w:val="Heading2"/>
        <w:spacing w:after="140" w:before="300"/>
      </w:pPr>
      <w:r>
        <w:t xml:space="preserve">3.9 Open Items Requiring Professional Sign-Off Before Build</w:t>
      </w:r>
    </w:p>
    <w:p>
      <w:pPr>
        <w:spacing w:after="150" w:line="300"/>
      </w:pPr>
      <w:r>
        <w:rPr>
          <w:color w:val="202020"/>
          <w:sz w:val="21"/>
          <w:szCs w:val="21"/>
        </w:rPr>
        <w:t xml:space="preserve">Everything else in Section 3 was confirmed directly against gov.uk or ico.org.uk. These five specific points could not be fully verified from public guidance and should not be hard-coded until a qualified professional confirms them:</w:t>
      </w:r>
    </w:p>
    <w:p>
      <w:pPr>
        <w:pStyle w:val="ListParagraph"/>
        <w:numPr>
          <w:ilvl w:val="0"/>
          <w:numId w:val="2"/>
        </w:numPr>
        <w:spacing w:after="110" w:line="290"/>
      </w:pPr>
      <w:r>
        <w:rPr>
          <w:b/>
          <w:bCs/>
          <w:color w:val="202020"/>
          <w:sz w:val="21"/>
          <w:szCs w:val="21"/>
        </w:rPr>
        <w:t xml:space="preserve">Companies House first-accounts deadline edge case.</w:t>
      </w:r>
    </w:p>
    <w:p>
      <w:pPr>
        <w:spacing w:after="150" w:line="300"/>
      </w:pPr>
      <w:r>
        <w:rPr>
          <w:color w:val="202020"/>
          <w:sz w:val="21"/>
          <w:szCs w:val="21"/>
        </w:rPr>
        <w:t xml:space="preserve">The primary rule (21 months from incorporation) is confirmed. Whether a "9 months from accounting reference date, if that produces a later date" exception applies could not be independently confirmed, verify with Companies House's own first-accounts calculator before finalising this logic.</w:t>
      </w:r>
    </w:p>
    <w:p>
      <w:pPr>
        <w:pStyle w:val="ListParagraph"/>
        <w:numPr>
          <w:ilvl w:val="0"/>
          <w:numId w:val="2"/>
        </w:numPr>
        <w:spacing w:after="110" w:line="290"/>
      </w:pPr>
      <w:r>
        <w:rPr>
          <w:b/>
          <w:bCs/>
          <w:color w:val="202020"/>
          <w:sz w:val="21"/>
          <w:szCs w:val="21"/>
        </w:rPr>
        <w:t xml:space="preserve">iXBRL tagging depth and method by company size.</w:t>
      </w:r>
    </w:p>
    <w:p>
      <w:pPr>
        <w:spacing w:after="150" w:line="300"/>
      </w:pPr>
      <w:r>
        <w:rPr>
          <w:color w:val="202020"/>
          <w:sz w:val="21"/>
          <w:szCs w:val="21"/>
        </w:rPr>
        <w:t xml:space="preserve">Confirmed: all companies must now provide fully tagged iXBRL data, there is no longer a size-based exemption from tagging depth. Not fully confirmed: the precise rules governing text-block tagging of narrative notes versus granular numeric tagging of primary statement figures. Commission a specific review from an accredited iXBRL source before building the tagging engine, this is the single most technically demanding and highest-error-risk part of the entire platform.</w:t>
      </w:r>
    </w:p>
    <w:p>
      <w:pPr>
        <w:pStyle w:val="ListParagraph"/>
        <w:numPr>
          <w:ilvl w:val="0"/>
          <w:numId w:val="2"/>
        </w:numPr>
        <w:spacing w:after="110" w:line="290"/>
      </w:pPr>
      <w:r>
        <w:rPr>
          <w:b/>
          <w:bCs/>
          <w:color w:val="202020"/>
          <w:sz w:val="21"/>
          <w:szCs w:val="21"/>
        </w:rPr>
        <w:t xml:space="preserve">MTD ITSA's End of Period Statement / Final Declaration merger.</w:t>
      </w:r>
    </w:p>
    <w:p>
      <w:pPr>
        <w:spacing w:after="150" w:line="300"/>
      </w:pPr>
      <w:r>
        <w:rPr>
          <w:color w:val="202020"/>
          <w:sz w:val="21"/>
          <w:szCs w:val="21"/>
        </w:rPr>
        <w:t xml:space="preserve">Current guidance indicates EOPS has been folded into the Final Declaration, with no standalone EOPS submission required. Given HMRC is still actively rolling out MTD ITSA through 2026-2028, re-verify this directly against the live HMRC service guide immediately before this module is built, not at the planning stage, since implementation details can still shift as the service matures.</w:t>
      </w:r>
    </w:p>
    <w:p>
      <w:pPr>
        <w:pStyle w:val="ListParagraph"/>
        <w:numPr>
          <w:ilvl w:val="0"/>
          <w:numId w:val="2"/>
        </w:numPr>
        <w:spacing w:after="110" w:line="290"/>
      </w:pPr>
      <w:r>
        <w:rPr>
          <w:b/>
          <w:bCs/>
          <w:color w:val="202020"/>
          <w:sz w:val="21"/>
          <w:szCs w:val="21"/>
        </w:rPr>
        <w:t xml:space="preserve">VAT return boxes 6-9 rounding direction.</w:t>
      </w:r>
    </w:p>
    <w:p>
      <w:pPr>
        <w:spacing w:after="150" w:line="300"/>
      </w:pPr>
      <w:r>
        <w:rPr>
          <w:color w:val="202020"/>
          <w:sz w:val="21"/>
          <w:szCs w:val="21"/>
        </w:rPr>
        <w:t xml:space="preserve">Confirmed: boxes 6-9 are whole-pound net values per HMRC's MTD VAT API schema. Not confirmed from an explicit gov.uk sentence: whether the convention is to round down or round to nearest. Section 3.3.6 assumes round-down as the standard practitioner convention, get this confirmed by a qualified adviser before the VAT calculation engine goes live, a wrong rounding direction is a small but real recurring misstatement on every return.</w:t>
      </w:r>
    </w:p>
    <w:p>
      <w:pPr>
        <w:pStyle w:val="ListParagraph"/>
        <w:numPr>
          <w:ilvl w:val="0"/>
          <w:numId w:val="2"/>
        </w:numPr>
        <w:spacing w:after="110" w:line="290"/>
      </w:pPr>
      <w:r>
        <w:rPr>
          <w:b/>
          <w:bCs/>
          <w:color w:val="202020"/>
          <w:sz w:val="21"/>
          <w:szCs w:val="21"/>
        </w:rPr>
        <w:t xml:space="preserve">The £15,000 director's-loan "arrangements" anti-avoidance threshold (Section 3.1.13).</w:t>
      </w:r>
    </w:p>
    <w:p>
      <w:pPr>
        <w:spacing w:after="150" w:line="300"/>
      </w:pPr>
      <w:r>
        <w:rPr>
          <w:color w:val="202020"/>
          <w:sz w:val="21"/>
          <w:szCs w:val="21"/>
        </w:rPr>
        <w:t xml:space="preserve">The £5,000 figure for the 30-day bed-and-breakfasting rule is confirmed from HMRC's manual as a stated rule. The £15,000 figure for the broader anti-avoidance test was confirmed from HMRC's own worked example in its manual rather than from a plainly stated general threshold. It should still be treated as reliable, but flag the distinction to a legal reviewer.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8A1F2D" w:sz="4"/>
              <w:left w:val="single" w:color="8A1F2D" w:sz="4"/>
              <w:bottom w:val="single" w:color="8A1F2D" w:sz="4"/>
              <w:right w:val="single" w:color="8A1F2D" w:sz="4"/>
            </w:tcBorders>
            <w:shd w:fill="FCEEEE" w:color="auto" w:val="clear"/>
            <w:tcMar>
              <w:top w:type="dxa" w:w="140"/>
              <w:left w:type="dxa" w:w="200"/>
              <w:bottom w:type="dxa" w:w="140"/>
              <w:right w:type="dxa" w:w="200"/>
            </w:tcMar>
          </w:tcPr>
          <w:p>
            <w:pPr>
              <w:spacing w:after="60"/>
            </w:pPr>
            <w:r>
              <w:rPr>
                <w:b/>
                <w:bCs/>
                <w:color w:val="8A1F2D"/>
                <w:sz w:val="20"/>
                <w:szCs w:val="20"/>
              </w:rPr>
              <w:t xml:space="preserve">STANDING RULE</w:t>
            </w:r>
          </w:p>
          <w:p>
            <w:pPr>
              <w:spacing w:after="0"/>
            </w:pPr>
            <w:r>
              <w:rPr>
                <w:color w:val="202020"/>
                <w:sz w:val="20"/>
                <w:szCs w:val="20"/>
              </w:rPr>
              <w:t xml:space="preserve">Re-run a verification pass on every numeric value and every rule in Section 3 before each new UK tax year begins (each April), and again before building any module that has not yet started development. Tax software that calculates against stale rates is a compliance liability, not a bug to fix later. This applies with particular force to Sections 3.1.9 and 3.4.5: capital allowance rates and dividend tax rates both changed at the Autumn Budget 2025, inside this PRD's own target launch window, proof that even "stable-looking" rates can move year to year.</w:t>
            </w:r>
          </w:p>
        </w:tc>
      </w:tr>
    </w:tbl>
    <w:p>
      <w:pPr>
        <w:pStyle w:val="Heading1"/>
        <w:spacing w:after="200" w:before="420"/>
      </w:pPr>
      <w:r>
        <w:t xml:space="preserve">4. Platform Functionality</w:t>
      </w:r>
    </w:p>
    <w:p>
      <w:pPr>
        <w:spacing w:after="150" w:line="300"/>
      </w:pPr>
      <w:r>
        <w:rPr>
          <w:color w:val="202020"/>
          <w:sz w:val="21"/>
          <w:szCs w:val="21"/>
        </w:rPr>
        <w:t xml:space="preserve">This section describes how the product actually works, module by module, end to end: what data the user provides, how the software calculates what is owed, how the return or accounts document is generated, and how it is transmitted to HMRC or Companies House. Every calculation referenced here is defined precisely in Section 3, this section is the workflow built on top of those rules, not a restatement of them.</w:t>
      </w:r>
    </w:p>
    <w:p>
      <w:pPr>
        <w:pStyle w:val="Heading3"/>
        <w:spacing w:after="100" w:before="200"/>
      </w:pPr>
      <w:r>
        <w:t xml:space="preserve">4.0 The technical fork that shapes the whole build</w:t>
      </w:r>
    </w:p>
    <w:p>
      <w:pPr>
        <w:spacing w:after="150" w:line="300"/>
      </w:pPr>
      <w:r>
        <w:rPr>
          <w:color w:val="202020"/>
          <w:sz w:val="21"/>
          <w:szCs w:val="21"/>
        </w:rPr>
        <w:t xml:space="preserve">HMRC's own submission mechanisms are not uniform, and this materially affects build difficulty and sequencing:</w:t>
      </w:r>
    </w:p>
    <w:p>
      <w:pPr>
        <w:pStyle w:val="ListParagraph"/>
        <w:numPr>
          <w:ilvl w:val="0"/>
          <w:numId w:val="3"/>
        </w:numPr>
        <w:spacing w:after="90" w:line="290"/>
      </w:pPr>
      <w:r>
        <w:rPr>
          <w:color w:val="202020"/>
          <w:sz w:val="21"/>
          <w:szCs w:val="21"/>
        </w:rPr>
        <w:t xml:space="preserve">VAT (MTD) and MTD ITSA run on modern REST APIs with OAuth2 authentication, properly documented with an OpenAPI specification and a sandbox test environment. This is the easier, faster integration.</w:t>
      </w:r>
    </w:p>
    <w:p>
      <w:pPr>
        <w:pStyle w:val="ListParagraph"/>
        <w:numPr>
          <w:ilvl w:val="0"/>
          <w:numId w:val="3"/>
        </w:numPr>
        <w:spacing w:after="90" w:line="290"/>
      </w:pPr>
      <w:r>
        <w:rPr>
          <w:color w:val="202020"/>
          <w:sz w:val="21"/>
          <w:szCs w:val="21"/>
        </w:rPr>
        <w:t xml:space="preserve">Corporation Tax (CT600) and the legacy Self Assessment (SA100) both run on HMRC's older XML-based Government Gateway mechanism, documented under HMRC's "XML APIs" rather than its modern REST API family. This is meaningfully more involved to build and test against.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8A1F2D" w:sz="4"/>
              <w:left w:val="single" w:color="8A1F2D" w:sz="4"/>
              <w:bottom w:val="single" w:color="8A1F2D" w:sz="4"/>
              <w:right w:val="single" w:color="8A1F2D" w:sz="4"/>
            </w:tcBorders>
            <w:shd w:fill="FCEEEE" w:color="auto" w:val="clear"/>
            <w:tcMar>
              <w:top w:type="dxa" w:w="140"/>
              <w:left w:type="dxa" w:w="200"/>
              <w:bottom w:type="dxa" w:w="140"/>
              <w:right w:type="dxa" w:w="200"/>
            </w:tcMar>
          </w:tcPr>
          <w:p>
            <w:pPr>
              <w:spacing w:after="60"/>
            </w:pPr>
            <w:r>
              <w:rPr>
                <w:b/>
                <w:bCs/>
                <w:color w:val="8A1F2D"/>
                <w:sz w:val="20"/>
                <w:szCs w:val="20"/>
              </w:rPr>
              <w:t xml:space="preserve">BUILD RULE 4.0</w:t>
            </w:r>
          </w:p>
          <w:p>
            <w:pPr>
              <w:spacing w:after="0"/>
            </w:pPr>
            <w:r>
              <w:rPr>
                <w:color w:val="202020"/>
                <w:sz w:val="20"/>
                <w:szCs w:val="20"/>
              </w:rPr>
              <w:t xml:space="preserve">Do not assume one authentication and submission pattern covers the whole platform. The engineering team needs to build and maintain two structurally different integration layers: a modern OAuth2/REST client for VAT and MTD ITSA, and an older XML/Government Gateway client for CT600 and any legacy SA100 filings. Budget separate design and testing time for each, they are not variations of the same code path.</w:t>
            </w:r>
          </w:p>
        </w:tc>
      </w:tr>
    </w:tbl>
    <w:p>
      <w:pPr>
        <w:pStyle w:val="Heading2"/>
        <w:spacing w:after="140" w:before="300"/>
      </w:pPr>
      <w:r>
        <w:t xml:space="preserve">4.1 Onboarding and Company Setup</w:t>
      </w:r>
    </w:p>
    <w:p>
      <w:pPr>
        <w:pStyle w:val="ListParagraph"/>
        <w:numPr>
          <w:ilvl w:val="0"/>
          <w:numId w:val="2"/>
        </w:numPr>
        <w:spacing w:after="110" w:line="290"/>
      </w:pPr>
      <w:r>
        <w:rPr>
          <w:b/>
          <w:bCs/>
          <w:color w:val="202020"/>
          <w:sz w:val="21"/>
          <w:szCs w:val="21"/>
        </w:rPr>
        <w:t xml:space="preserve">Identity and account creation.</w:t>
      </w:r>
    </w:p>
    <w:p>
      <w:pPr>
        <w:spacing w:after="150" w:line="300"/>
      </w:pPr>
      <w:r>
        <w:rPr>
          <w:color w:val="202020"/>
          <w:sz w:val="21"/>
          <w:szCs w:val="21"/>
        </w:rPr>
        <w:t xml:space="preserve">Standard email/password or SSO signup, plus two-factor authentication given the sensitivity of the data involved (see Section 3.7 and Section 6.2).</w:t>
      </w:r>
    </w:p>
    <w:p>
      <w:pPr>
        <w:pStyle w:val="ListParagraph"/>
        <w:numPr>
          <w:ilvl w:val="0"/>
          <w:numId w:val="2"/>
        </w:numPr>
        <w:spacing w:after="110" w:line="290"/>
      </w:pPr>
      <w:r>
        <w:rPr>
          <w:b/>
          <w:bCs/>
          <w:color w:val="202020"/>
          <w:sz w:val="21"/>
          <w:szCs w:val="21"/>
        </w:rPr>
        <w:t xml:space="preserve">Entity setup.</w:t>
      </w:r>
    </w:p>
    <w:p>
      <w:pPr>
        <w:spacing w:after="150" w:line="300"/>
      </w:pPr>
      <w:r>
        <w:rPr>
          <w:color w:val="202020"/>
          <w:sz w:val="21"/>
          <w:szCs w:val="21"/>
        </w:rPr>
        <w:t xml:space="preserve">User enters their Companies House company number (for company users) or confirms sole trader/individual status. The platform should pull the company's registered details, accounting reference date, and incorporation date directly from the Companies House public API rather than asking the user to re-type them, this both reduces user error and is the first practical use of a "digital link" in the product (see Rule 3.3.3).</w:t>
      </w:r>
    </w:p>
    <w:p>
      <w:pPr>
        <w:pStyle w:val="ListParagraph"/>
        <w:numPr>
          <w:ilvl w:val="0"/>
          <w:numId w:val="2"/>
        </w:numPr>
        <w:spacing w:after="110" w:line="290"/>
      </w:pPr>
      <w:r>
        <w:rPr>
          <w:b/>
          <w:bCs/>
          <w:color w:val="202020"/>
          <w:sz w:val="21"/>
          <w:szCs w:val="21"/>
        </w:rPr>
        <w:t xml:space="preserve">Accounts-framework determination.</w:t>
      </w:r>
    </w:p>
    <w:p>
      <w:pPr>
        <w:spacing w:after="150" w:line="300"/>
      </w:pPr>
      <w:r>
        <w:rPr>
          <w:color w:val="202020"/>
          <w:sz w:val="21"/>
          <w:szCs w:val="21"/>
        </w:rPr>
        <w:t xml:space="preserve">Using turnover, balance sheet, and employee figures the user provides, the platform automatically applies the 2-of-3 test from Rule 3.1.8a to classify the company as micro-entity or small, and sets the correct accounts framework (FRS 105 or FRS 102) without asking the user to know which one applies.</w:t>
      </w:r>
    </w:p>
    <w:p>
      <w:pPr>
        <w:pStyle w:val="ListParagraph"/>
        <w:numPr>
          <w:ilvl w:val="0"/>
          <w:numId w:val="2"/>
        </w:numPr>
        <w:spacing w:after="110" w:line="290"/>
      </w:pPr>
      <w:r>
        <w:rPr>
          <w:b/>
          <w:bCs/>
          <w:color w:val="202020"/>
          <w:sz w:val="21"/>
          <w:szCs w:val="21"/>
        </w:rPr>
        <w:t xml:space="preserve">Associated companies capture.</w:t>
      </w:r>
    </w:p>
    <w:p>
      <w:pPr>
        <w:spacing w:after="150" w:line="300"/>
      </w:pPr>
      <w:r>
        <w:rPr>
          <w:color w:val="202020"/>
          <w:sz w:val="21"/>
          <w:szCs w:val="21"/>
        </w:rPr>
        <w:t xml:space="preserve">Required field per Rule 3.1.4: does this company have any associated companies, and how many. Flag genuinely uncertain cases (passive holding company structures) for a manual review prompt rather than an automatic yes/no.</w:t>
      </w:r>
    </w:p>
    <w:p>
      <w:pPr>
        <w:pStyle w:val="ListParagraph"/>
        <w:numPr>
          <w:ilvl w:val="0"/>
          <w:numId w:val="2"/>
        </w:numPr>
        <w:spacing w:after="110" w:line="290"/>
      </w:pPr>
      <w:r>
        <w:rPr>
          <w:b/>
          <w:bCs/>
          <w:color w:val="202020"/>
          <w:sz w:val="21"/>
          <w:szCs w:val="21"/>
        </w:rPr>
        <w:t xml:space="preserve">HMRC and Companies House authorisation.</w:t>
      </w:r>
    </w:p>
    <w:p>
      <w:pPr>
        <w:spacing w:after="150" w:line="300"/>
      </w:pPr>
      <w:r>
        <w:rPr>
          <w:color w:val="202020"/>
          <w:sz w:val="21"/>
          <w:szCs w:val="21"/>
        </w:rPr>
        <w:t xml:space="preserve">The user connects their own HMRC Government Gateway credentials (for CT600/legacy SA100) and grants OAuth2 access (for VAT/MTD ITSA) directly to the platform. The platform never stores the user's HMRC password, only the token(s) HMRC issues once the user authorises access, this is standard OAuth2 behaviour and should not be re-implemented as credential storage.</w:t>
      </w:r>
    </w:p>
    <w:p>
      <w:pPr>
        <w:pStyle w:val="ListParagraph"/>
        <w:numPr>
          <w:ilvl w:val="0"/>
          <w:numId w:val="2"/>
        </w:numPr>
        <w:spacing w:after="110" w:line="290"/>
      </w:pPr>
      <w:r>
        <w:rPr>
          <w:b/>
          <w:bCs/>
          <w:color w:val="202020"/>
          <w:sz w:val="21"/>
          <w:szCs w:val="21"/>
        </w:rPr>
        <w:t xml:space="preserve">Filing type selection.</w:t>
      </w:r>
    </w:p>
    <w:p>
      <w:pPr>
        <w:spacing w:after="150" w:line="300"/>
      </w:pPr>
      <w:r>
        <w:rPr>
          <w:color w:val="202020"/>
          <w:sz w:val="21"/>
          <w:szCs w:val="21"/>
        </w:rPr>
        <w:t xml:space="preserve">Based on entity type and figures provided, the platform determines which filings apply, Corporation Tax, VAT, MTD ITSA, none, or a combination, and builds the user's dashboard and deadline calendar accordingly.</w:t>
      </w:r>
    </w:p>
    <w:p>
      <w:pPr>
        <w:pStyle w:val="Heading2"/>
        <w:spacing w:after="140" w:before="300"/>
      </w:pPr>
      <w:r>
        <w:t xml:space="preserve">4.2 Corporation Tax Module</w:t>
      </w:r>
    </w:p>
    <w:p>
      <w:pPr>
        <w:pStyle w:val="Heading3"/>
        <w:spacing w:after="100" w:before="200"/>
      </w:pPr>
      <w:r>
        <w:t xml:space="preserve">4.2.1 Data the user must provide</w:t>
      </w:r>
    </w:p>
    <w:p>
      <w:pPr>
        <w:pStyle w:val="ListParagraph"/>
        <w:numPr>
          <w:ilvl w:val="0"/>
          <w:numId w:val="3"/>
        </w:numPr>
        <w:spacing w:after="90" w:line="290"/>
      </w:pPr>
      <w:r>
        <w:rPr>
          <w:color w:val="202020"/>
          <w:sz w:val="21"/>
          <w:szCs w:val="21"/>
        </w:rPr>
        <w:t xml:space="preserve">Full-year financial figures: income, expenses by category, assets and liabilities, sufficient to produce a balance sheet (and, from April 2028, a profit and loss account, see Rule 3.1.8b).</w:t>
      </w:r>
    </w:p>
    <w:p>
      <w:pPr>
        <w:pStyle w:val="ListParagraph"/>
        <w:numPr>
          <w:ilvl w:val="0"/>
          <w:numId w:val="3"/>
        </w:numPr>
        <w:spacing w:after="90" w:line="290"/>
      </w:pPr>
      <w:r>
        <w:rPr>
          <w:color w:val="202020"/>
          <w:sz w:val="21"/>
          <w:szCs w:val="21"/>
        </w:rPr>
        <w:t xml:space="preserve">Trial balance import where possible (from Xero, QuickBooks, FreeAgent, Sage, or a CSV/spreadsheet), rather than manual re-entry of figures that already exist digitally elsewhere, both for user experience and to minimise manual-entry error in a tax calculation.</w:t>
      </w:r>
    </w:p>
    <w:p>
      <w:pPr>
        <w:pStyle w:val="ListParagraph"/>
        <w:numPr>
          <w:ilvl w:val="0"/>
          <w:numId w:val="3"/>
        </w:numPr>
        <w:spacing w:after="90" w:line="290"/>
      </w:pPr>
      <w:r>
        <w:rPr>
          <w:color w:val="202020"/>
          <w:sz w:val="21"/>
          <w:szCs w:val="21"/>
        </w:rPr>
        <w:t xml:space="preserve">Any adjustments specific to tax computation that differ from accounting profit: disallowable expenses and capital allowances (Sections 3.1.9-3.1.10), director's loan balances if any (Section 3.1.13), and prior-year losses to carry forward if any (Section 3.1.12). This is the most accountancy-knowledge-heavy part of the platform, the UI needs to guide a non-accountant user through the small, clearly explained set of adjustments in Sections 3.1.9-3.1.13 rather than presenting a blank professional tax-computation form.</w:t>
      </w:r>
    </w:p>
    <w:p>
      <w:pPr>
        <w:pStyle w:val="Heading3"/>
        <w:spacing w:after="100" w:before="200"/>
      </w:pPr>
      <w:r>
        <w:t xml:space="preserve">4.2.2 Calculation engine</w:t>
      </w:r>
    </w:p>
    <w:p>
      <w:pPr>
        <w:spacing w:after="150" w:line="300"/>
      </w:pPr>
      <w:r>
        <w:rPr>
          <w:color w:val="202020"/>
          <w:sz w:val="21"/>
          <w:szCs w:val="21"/>
        </w:rPr>
        <w:t xml:space="preserve">Applies, in order: the disallowable-expenses add-backs and capital allowances deductions (Sections 3.1.9-3.1.10) to derive taxable profit, then the rates, marginal relief formula, and associated-companies adjustment defined in Section 3.1.1-3.1.4. Where relevant, also applies loss relief (Section 3.1.12) and the s455 charge on any outstanding director's loan (Section 3.1.13). The £100,000-profit worked example in Rule 3.1.3 (£22,750 payable) and the fuller £120,000-to-£107,000 bridge in Rule 3.1.11 (£24,605 payable) are the permanent regression tests for this engine.</w:t>
      </w:r>
    </w:p>
    <w:p>
      <w:pPr>
        <w:pStyle w:val="Heading3"/>
        <w:spacing w:after="100" w:before="200"/>
      </w:pPr>
      <w:r>
        <w:t xml:space="preserve">4.2.3 Accounts and computations generation</w:t>
      </w:r>
    </w:p>
    <w:p>
      <w:pPr>
        <w:spacing w:after="150" w:line="300"/>
      </w:pPr>
      <w:r>
        <w:rPr>
          <w:color w:val="202020"/>
          <w:sz w:val="21"/>
          <w:szCs w:val="21"/>
        </w:rPr>
        <w:t xml:space="preserve">The platform must generate the statutory accounts (balance sheet, and P&amp;L once Rule 3.1.8b applies) and tax computations, then render them as a single iXBRL-tagged document against the correct taxonomy (FRS 105 or FRS 102, per Rule 3.1.8a). Build the balance sheet exactly as Section 3.0 describes, an asset side and a derived equity side that must reconcile (Rule 3.0.2b), never as two independently-entered totals. This is the hardest single technical component in the product, there is no off-the-shelf API or SDK to license for this, see the note in Section 7.5.</w:t>
      </w:r>
    </w:p>
    <w:p>
      <w:pPr>
        <w:pStyle w:val="Heading3"/>
        <w:spacing w:after="100" w:before="200"/>
      </w:pPr>
      <w:r>
        <w:t xml:space="preserve">4.2.4 Submission</w:t>
      </w:r>
    </w:p>
    <w:p>
      <w:pPr>
        <w:spacing w:after="150" w:line="300"/>
      </w:pPr>
      <w:r>
        <w:rPr>
          <w:color w:val="202020"/>
          <w:sz w:val="21"/>
          <w:szCs w:val="21"/>
        </w:rPr>
        <w:t xml:space="preserve">Transmitted to HMRC via the legacy XML/Government Gateway mechanism (Section 4.0), bundling the CT600 form, iXBRL accounts, and computations as one Company Tax Return submission (Rule 3.1.8).</w:t>
      </w:r>
    </w:p>
    <w:p>
      <w:pPr>
        <w:pStyle w:val="Heading3"/>
        <w:spacing w:after="100" w:before="200"/>
      </w:pPr>
      <w:r>
        <w:t xml:space="preserve">4.2.5 Deadlines surfaced to the user</w:t>
      </w:r>
    </w:p>
    <w:p>
      <w:pPr>
        <w:spacing w:after="150" w:line="300"/>
      </w:pPr>
      <w:r>
        <w:rPr>
          <w:color w:val="202020"/>
          <w:sz w:val="21"/>
          <w:szCs w:val="21"/>
        </w:rPr>
        <w:t xml:space="preserve">Two independent deadlines per Rule 3.1.6: filing (12 months after period end) and payment (9 months and 1 day after period end). If Rule 3.1.5 triggers a period split, the platform must surface two complete sets of these deadlines, one per resulting CT600 filing.</w:t>
      </w:r>
    </w:p>
    <w:p>
      <w:pPr>
        <w:pStyle w:val="Heading2"/>
        <w:spacing w:after="140" w:before="300"/>
      </w:pPr>
      <w:r>
        <w:t xml:space="preserve">4.3 VAT Module</w:t>
      </w:r>
    </w:p>
    <w:p>
      <w:pPr>
        <w:pStyle w:val="Heading3"/>
        <w:spacing w:after="100" w:before="200"/>
      </w:pPr>
      <w:r>
        <w:t xml:space="preserve">4.3.1 Data the user must provide</w:t>
      </w:r>
    </w:p>
    <w:p>
      <w:pPr>
        <w:pStyle w:val="ListParagraph"/>
        <w:numPr>
          <w:ilvl w:val="0"/>
          <w:numId w:val="3"/>
        </w:numPr>
        <w:spacing w:after="90" w:line="290"/>
      </w:pPr>
      <w:r>
        <w:rPr>
          <w:color w:val="202020"/>
          <w:sz w:val="21"/>
          <w:szCs w:val="21"/>
        </w:rPr>
        <w:t xml:space="preserve">Digital records of every supply made and received: time of supply, net value, VAT rate applied (Rule 3.3.3).</w:t>
      </w:r>
    </w:p>
    <w:p>
      <w:pPr>
        <w:pStyle w:val="ListParagraph"/>
        <w:numPr>
          <w:ilvl w:val="0"/>
          <w:numId w:val="3"/>
        </w:numPr>
        <w:spacing w:after="90" w:line="290"/>
      </w:pPr>
      <w:r>
        <w:rPr>
          <w:color w:val="202020"/>
          <w:sz w:val="21"/>
          <w:szCs w:val="21"/>
        </w:rPr>
        <w:t xml:space="preserve">Scheme selection: standard VAT accounting or Flat Rate Scheme (Rule 3.3.5), captured once at setup and changeable if the user's circumstances change.</w:t>
      </w:r>
    </w:p>
    <w:p>
      <w:pPr>
        <w:pStyle w:val="Heading3"/>
        <w:spacing w:after="100" w:before="200"/>
      </w:pPr>
      <w:r>
        <w:t xml:space="preserve">4.3.2 How the digital-link requirement shapes the UI, concretely</w:t>
      </w:r>
    </w:p>
    <w:p>
      <w:pPr>
        <w:spacing w:after="150" w:line="300"/>
      </w:pPr>
      <w:r>
        <w:rPr>
          <w:color w:val="202020"/>
          <w:sz w:val="21"/>
          <w:szCs w:val="21"/>
        </w:rPr>
        <w:t xml:space="preserve">This is the rule most likely to be misunderstood by a developer without tax background, so it is repeated here as a product requirement, not just a legal note. Acceptable ways data reaches the platform: direct API connection to the user's accounting software, CSV/XML file import, or a formula-linked spreadsheet cell. Not acceptable: a text field where the user reads a total off a spreadsheet and types it in, or copies and pastes it. The only legitimate use of a plain manual-entry field is for a transaction that has never existed in digital form anywhere before this exact moment, for example a cash transaction being recorded for the first time.</w:t>
      </w:r>
    </w:p>
    <w:p>
      <w:pPr>
        <w:pStyle w:val="Heading3"/>
        <w:spacing w:after="100" w:before="200"/>
      </w:pPr>
      <w:r>
        <w:t xml:space="preserve">4.3.3 Calculation engine</w:t>
      </w:r>
    </w:p>
    <w:p>
      <w:pPr>
        <w:pStyle w:val="ListParagraph"/>
        <w:numPr>
          <w:ilvl w:val="0"/>
          <w:numId w:val="3"/>
        </w:numPr>
        <w:spacing w:after="90" w:line="290"/>
      </w:pPr>
      <w:r>
        <w:rPr>
          <w:color w:val="202020"/>
          <w:sz w:val="21"/>
          <w:szCs w:val="21"/>
        </w:rPr>
        <w:t xml:space="preserve">Standard scheme: sum output VAT charged on sales, subtract input VAT reclaimed on purchases, by rate band (Section 3.3.1), then populate the nine return boxes exactly per Section 3.3.6, including the Box 6/7 net-value rounding and the Box 8/9 subset rule.</w:t>
      </w:r>
    </w:p>
    <w:p>
      <w:pPr>
        <w:pStyle w:val="ListParagraph"/>
        <w:numPr>
          <w:ilvl w:val="0"/>
          <w:numId w:val="3"/>
        </w:numPr>
        <w:spacing w:after="90" w:line="290"/>
      </w:pPr>
      <w:r>
        <w:rPr>
          <w:color w:val="202020"/>
          <w:sz w:val="21"/>
          <w:szCs w:val="21"/>
        </w:rPr>
        <w:t xml:space="preserve">Flat Rate Scheme: gross (VAT-inclusive) turnover multiplied by the user's sector-specific flat rate percentage, or 16.5% if the limited-cost-business test applies, with input VAT recovery restricted to individual capital asset purchases of £2,000 or more including VAT (Rule 3.3.5, Section 12.3).</w:t>
      </w:r>
    </w:p>
    <w:p>
      <w:pPr>
        <w:pStyle w:val="Heading3"/>
        <w:spacing w:after="100" w:before="200"/>
      </w:pPr>
      <w:r>
        <w:t xml:space="preserve">4.3.4 Submission</w:t>
      </w:r>
    </w:p>
    <w:p>
      <w:pPr>
        <w:spacing w:after="150" w:line="300"/>
      </w:pPr>
      <w:r>
        <w:rPr>
          <w:color w:val="202020"/>
          <w:sz w:val="21"/>
          <w:szCs w:val="21"/>
        </w:rPr>
        <w:t xml:space="preserve">Transmitted via HMRC's modern OAuth2/REST MTD VAT API (Section 4.0), populating the standard nine VAT-return boxes per Section 3.3.6. The worked example in Rule 3.3.6b is the permanent regression test for this engine.</w:t>
      </w:r>
    </w:p>
    <w:p>
      <w:pPr>
        <w:pStyle w:val="Heading3"/>
        <w:spacing w:after="100" w:before="200"/>
      </w:pPr>
      <w:r>
        <w:t xml:space="preserve">4.3.5 Deadlines surfaced to the user</w:t>
      </w:r>
    </w:p>
    <w:p>
      <w:pPr>
        <w:spacing w:after="150" w:line="300"/>
      </w:pPr>
      <w:r>
        <w:rPr>
          <w:color w:val="202020"/>
          <w:sz w:val="21"/>
          <w:szCs w:val="21"/>
        </w:rPr>
        <w:t xml:space="preserve">One combined filing-and-payment deadline per quarter: 1 calendar month and 7 days after the VAT period ends (Rule 3.3.4). Build the reminder sequence to account for bank payment clearing time, not just the calendar deadline itself.</w:t>
      </w:r>
    </w:p>
    <w:p>
      <w:pPr>
        <w:pStyle w:val="Heading2"/>
        <w:spacing w:after="140" w:before="300"/>
      </w:pPr>
      <w:r>
        <w:t xml:space="preserve">4.4 Income Tax / Self Assessment Module</w:t>
      </w:r>
    </w:p>
    <w:p>
      <w:pPr>
        <w:pStyle w:val="Heading3"/>
        <w:spacing w:after="100" w:before="200"/>
      </w:pPr>
      <w:r>
        <w:t xml:space="preserve">4.4.1 Two structurally different user journeys</w:t>
      </w:r>
    </w:p>
    <w:p>
      <w:pPr>
        <w:spacing w:after="150" w:line="300"/>
      </w:pPr>
      <w:r>
        <w:rPr>
          <w:color w:val="202020"/>
          <w:sz w:val="21"/>
          <w:szCs w:val="21"/>
        </w:rPr>
        <w:t xml:space="preserve">The platform needs two distinct flows depending on whether the user is mandated into MTD ITSA (Rule 3.5.1) or remains on the legacy annual process. This is a per-user, per-tax-year determination, not a one-time product-level decision.</w:t>
      </w:r>
    </w:p>
    <w:p>
      <w:pPr>
        <w:pStyle w:val="Heading3"/>
        <w:spacing w:after="100" w:before="200"/>
      </w:pPr>
      <w:r>
        <w:t xml:space="preserve">4.4.2 Legacy path: annual SA100</w:t>
      </w:r>
    </w:p>
    <w:p>
      <w:pPr>
        <w:spacing w:after="150" w:line="300"/>
      </w:pPr>
      <w:r>
        <w:rPr>
          <w:color w:val="202020"/>
          <w:sz w:val="21"/>
          <w:szCs w:val="21"/>
        </w:rPr>
        <w:t xml:space="preserve">A single annual return, income tax calculated against the bands in Section 3.4.1 (with the Personal Allowance taper above £100,000, Rule 3.4.1) plus Class 4 NIC per Section 3.4.2. Where the user has dividend income from their own company, apply the dividend-stacking calculation in Section 3.4.5 (dividends as the top slice of income, on top of salary). Where the user is a sole trader below the Trading Allowance threshold, apply the automatic comparison in Section 3.4.6. Filed via the legacy XML/Government Gateway mechanism (Section 4.0). Deadlines and payments-on-account logic per Sections 3.4.3 and 3.4.4.</w:t>
      </w:r>
    </w:p>
    <w:p>
      <w:pPr>
        <w:pStyle w:val="Heading3"/>
        <w:spacing w:after="100" w:before="200"/>
      </w:pPr>
      <w:r>
        <w:t xml:space="preserve">4.4.3 MTD ITSA path: quarterly updates plus Final Declaration</w:t>
      </w:r>
    </w:p>
    <w:p>
      <w:pPr>
        <w:pStyle w:val="ListParagraph"/>
        <w:numPr>
          <w:ilvl w:val="0"/>
          <w:numId w:val="2"/>
        </w:numPr>
        <w:spacing w:after="110" w:line="290"/>
      </w:pPr>
      <w:r>
        <w:rPr>
          <w:b/>
          <w:bCs/>
          <w:color w:val="202020"/>
          <w:sz w:val="21"/>
          <w:szCs w:val="21"/>
        </w:rPr>
        <w:t xml:space="preserve">Digital record-keeping throughout the year.</w:t>
      </w:r>
    </w:p>
    <w:p>
      <w:pPr>
        <w:spacing w:after="150" w:line="300"/>
      </w:pPr>
      <w:r>
        <w:rPr>
          <w:color w:val="202020"/>
          <w:sz w:val="21"/>
          <w:szCs w:val="21"/>
        </w:rPr>
        <w:t xml:space="preserve">Same digital-link constraint as VAT (Rule 3.3.3 applies by the same underlying MTD principle): business income and expense figures must flow into the platform digitally, not be manually re-typed from records that already exist elsewhere.</w:t>
      </w:r>
    </w:p>
    <w:p>
      <w:pPr>
        <w:pStyle w:val="ListParagraph"/>
        <w:numPr>
          <w:ilvl w:val="0"/>
          <w:numId w:val="2"/>
        </w:numPr>
        <w:spacing w:after="110" w:line="290"/>
      </w:pPr>
      <w:r>
        <w:rPr>
          <w:b/>
          <w:bCs/>
          <w:color w:val="202020"/>
          <w:sz w:val="21"/>
          <w:szCs w:val="21"/>
        </w:rPr>
        <w:t xml:space="preserve">Four quarterly updates.</w:t>
      </w:r>
    </w:p>
    <w:p>
      <w:pPr>
        <w:spacing w:after="150" w:line="300"/>
      </w:pPr>
      <w:r>
        <w:rPr>
          <w:color w:val="202020"/>
          <w:sz w:val="21"/>
          <w:szCs w:val="21"/>
        </w:rPr>
        <w:t xml:space="preserve">Submitted against the exact period dates and deadlines in Section 3.5.2, reporting running totals of business income and expenses only, not a tax calculation or payment event.</w:t>
      </w:r>
    </w:p>
    <w:p>
      <w:pPr>
        <w:pStyle w:val="ListParagraph"/>
        <w:numPr>
          <w:ilvl w:val="0"/>
          <w:numId w:val="2"/>
        </w:numPr>
        <w:spacing w:after="110" w:line="290"/>
      </w:pPr>
      <w:r>
        <w:rPr>
          <w:b/>
          <w:bCs/>
          <w:color w:val="202020"/>
          <w:sz w:val="21"/>
          <w:szCs w:val="21"/>
        </w:rPr>
        <w:t xml:space="preserve">One Final Declaration at year end.</w:t>
      </w:r>
    </w:p>
    <w:p>
      <w:pPr>
        <w:spacing w:after="150" w:line="300"/>
      </w:pPr>
      <w:r>
        <w:rPr>
          <w:color w:val="202020"/>
          <w:sz w:val="21"/>
          <w:szCs w:val="21"/>
        </w:rPr>
        <w:t xml:space="preserve">Due 31 January following the tax year end (Section 3.5.3), incorporating all income sources (employment, dividends, interest, pensions, not just the quarterly-reported business figures), applying the Income Tax bands, Personal Allowance taper, and Class 4 NIC calculations, and finalising the liability. This single step replaces both the old SA100 and the originally-planned separate EOPS step (Rule 3.5.3).</w:t>
      </w:r>
    </w:p>
    <w:p>
      <w:pPr>
        <w:pStyle w:val="Heading3"/>
        <w:spacing w:after="100" w:before="200"/>
      </w:pPr>
      <w:r>
        <w:t xml:space="preserve">4.4.4 Submission mechanism</w:t>
      </w:r>
    </w:p>
    <w:p>
      <w:pPr>
        <w:spacing w:after="150" w:line="300"/>
      </w:pPr>
      <w:r>
        <w:rPr>
          <w:color w:val="202020"/>
          <w:sz w:val="21"/>
          <w:szCs w:val="21"/>
        </w:rPr>
        <w:t xml:space="preserve">Both quarterly updates and the Final Declaration use HMRC's modern OAuth2/REST API family (Section 4.0), unlike CT600 and the legacy SA100 path.</w:t>
      </w:r>
    </w:p>
    <w:p>
      <w:pPr>
        <w:pStyle w:val="Heading3"/>
        <w:spacing w:after="100" w:before="200"/>
      </w:pPr>
      <w:r>
        <w:t xml:space="preserve">4.4.5 Optional payroll sub-module, if the platform runs a director's salary</w:t>
      </w:r>
    </w:p>
    <w:p>
      <w:pPr>
        <w:spacing w:after="150" w:line="300"/>
      </w:pPr>
      <w:r>
        <w:rPr>
          <w:color w:val="202020"/>
          <w:sz w:val="21"/>
          <w:szCs w:val="21"/>
        </w:rPr>
        <w:t xml:space="preserve">If the product lets a director run their own PAYE through the platform rather than only reporting dividends, this is a materially separate engine from everything else in this section: it requires per-payday Full Payment Submission (FPS), not an annual or quarterly filing, and its own Class 1 NIC calculation per Section 3.4.7, including the Secondary Threshold gap and Employment Allowance eligibility check. Do not schedule this as a phase-1 requirement unless payroll is explicitly in scope, but do not silently fold its deadlines into the annual filing calendar if it is built.</w:t>
      </w:r>
    </w:p>
    <w:p>
      <w:pPr>
        <w:pStyle w:val="Heading2"/>
        <w:spacing w:after="140" w:before="300"/>
      </w:pPr>
      <w:r>
        <w:t xml:space="preserve">4.5 Companies House Accounts Module</w:t>
      </w:r>
    </w:p>
    <w:p>
      <w:pPr>
        <w:spacing w:after="150" w:line="300"/>
      </w:pPr>
      <w:r>
        <w:rPr>
          <w:color w:val="202020"/>
          <w:sz w:val="21"/>
          <w:szCs w:val="21"/>
        </w:rPr>
        <w:t xml:space="preserve">For company users, this runs alongside the Corporation Tax module (Section 4.2), since both filings typically use the same underlying accounts, but the submission destinations and accreditation are entirely separate systems (Section 7.2).</w:t>
      </w:r>
    </w:p>
    <w:p>
      <w:pPr>
        <w:pStyle w:val="ListParagraph"/>
        <w:numPr>
          <w:ilvl w:val="0"/>
          <w:numId w:val="3"/>
        </w:numPr>
        <w:spacing w:after="90" w:line="290"/>
      </w:pPr>
      <w:r>
        <w:rPr>
          <w:color w:val="202020"/>
          <w:sz w:val="21"/>
          <w:szCs w:val="21"/>
        </w:rPr>
        <w:t xml:space="preserve">Accounts framework and iXBRL tagging: shares the same engine as Section 4.2.3, built once and used for both HMRC and Companies House submissions where the underlying accounts data is identical.</w:t>
      </w:r>
    </w:p>
    <w:p>
      <w:pPr>
        <w:pStyle w:val="ListParagraph"/>
        <w:numPr>
          <w:ilvl w:val="0"/>
          <w:numId w:val="3"/>
        </w:numPr>
        <w:spacing w:after="90" w:line="290"/>
      </w:pPr>
      <w:r>
        <w:rPr>
          <w:color w:val="202020"/>
          <w:sz w:val="21"/>
          <w:szCs w:val="21"/>
        </w:rPr>
        <w:t xml:space="preserve">Confirmation statement: a separate, non-financial filing (Section 3.6.3), the platform should track its own independent 12-month deadline and offer to pre-fill it from the company's already-known registered details.</w:t>
      </w:r>
    </w:p>
    <w:p>
      <w:pPr>
        <w:pStyle w:val="ListParagraph"/>
        <w:numPr>
          <w:ilvl w:val="0"/>
          <w:numId w:val="3"/>
        </w:numPr>
        <w:spacing w:after="90" w:line="290"/>
      </w:pPr>
      <w:r>
        <w:rPr>
          <w:color w:val="202020"/>
          <w:sz w:val="21"/>
          <w:szCs w:val="21"/>
        </w:rPr>
        <w:t xml:space="preserve">Deadlines surfaced to the user: 9 months after the accounting reference date for ongoing years, 21 months from incorporation for first accounts (Section 3.6.1, noting the flagged edge case in Section 3.9).</w:t>
      </w:r>
    </w:p>
    <w:p>
      <w:pPr>
        <w:pStyle w:val="Heading2"/>
        <w:spacing w:after="140" w:before="300"/>
      </w:pPr>
      <w:r>
        <w:t xml:space="preserve">4.6 Cross-Cutting Functionality</w:t>
      </w:r>
    </w:p>
    <w:p>
      <w:pPr>
        <w:pStyle w:val="Heading3"/>
        <w:spacing w:after="100" w:before="200"/>
      </w:pPr>
      <w:r>
        <w:t xml:space="preserve">4.6.1 Deadline and reminder engine</w:t>
      </w:r>
    </w:p>
    <w:p>
      <w:pPr>
        <w:spacing w:after="150" w:line="300"/>
      </w:pPr>
      <w:r>
        <w:rPr>
          <w:color w:val="202020"/>
          <w:sz w:val="21"/>
          <w:szCs w:val="21"/>
        </w:rPr>
        <w:t xml:space="preserve">A single service tracking every deadline generated across Sections 4.2 to 4.5 per user: CT600 filing, CT payment, VAT filing/payment, MTD ITSA quarterly updates, MTD ITSA Final Declaration, Companies House accounts, and confirmation statement. Each deadline type needs its own reminder cadence (for example, a payment deadline needs an earlier warning than a filing deadline to account for bank clearing time, per Rule 3.1.6 and Section 4.3.5).</w:t>
      </w:r>
    </w:p>
    <w:p>
      <w:pPr>
        <w:pStyle w:val="Heading3"/>
        <w:spacing w:after="100" w:before="200"/>
      </w:pPr>
      <w:r>
        <w:t xml:space="preserve">4.6.2 Document storage and audit trail</w:t>
      </w:r>
    </w:p>
    <w:p>
      <w:pPr>
        <w:spacing w:after="150" w:line="300"/>
      </w:pPr>
      <w:r>
        <w:rPr>
          <w:color w:val="202020"/>
          <w:sz w:val="21"/>
          <w:szCs w:val="21"/>
        </w:rPr>
        <w:t xml:space="preserve">Every submitted return, generated iXBRL document, and HMRC/Companies House submission receipt must be retained and retrievable by the user, both for their own statutory record-keeping obligations and as evidence of what was actually submitted if a dispute or HMRC enquiry arises later. Store the exact submitted payload, not just a re-rendered summary, so a technical support query can be answered by reference to what HMRC actually received.</w:t>
      </w:r>
    </w:p>
    <w:p>
      <w:pPr>
        <w:pStyle w:val="Heading3"/>
        <w:spacing w:after="100" w:before="200"/>
      </w:pPr>
      <w:r>
        <w:t xml:space="preserve">4.6.3 Dashboard</w:t>
      </w:r>
    </w:p>
    <w:p>
      <w:pPr>
        <w:spacing w:after="150" w:line="300"/>
      </w:pPr>
      <w:r>
        <w:rPr>
          <w:color w:val="202020"/>
          <w:sz w:val="21"/>
          <w:szCs w:val="21"/>
        </w:rPr>
        <w:t xml:space="preserve">A single view per company/individual showing: current filing status for each applicable tax, upcoming deadlines, amounts owed and when they're due, and links to past submissions and receipts.</w:t>
      </w:r>
    </w:p>
    <w:p>
      <w:pPr>
        <w:pStyle w:val="Heading2"/>
        <w:spacing w:after="140" w:before="300"/>
      </w:pPr>
      <w:r>
        <w:t xml:space="preserve">4.7 Accountant / Practice Mode</w:t>
      </w:r>
    </w:p>
    <w:p>
      <w:pPr>
        <w:spacing w:after="150" w:line="300"/>
      </w:pPr>
      <w:r>
        <w:rPr>
          <w:color w:val="202020"/>
          <w:sz w:val="21"/>
          <w:szCs w:val="21"/>
        </w:rPr>
        <w:t xml:space="preserve">A later-phase addition, not MVP scope (see Section 8), allowing an accountant or bookkeeper to manage filings across multiple client companies from one login. This is the standard pattern across every competitor in this space, see the accompanying market guide for the full competitive analysis.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8A1F2D" w:sz="4"/>
              <w:left w:val="single" w:color="8A1F2D" w:sz="4"/>
              <w:bottom w:val="single" w:color="8A1F2D" w:sz="4"/>
              <w:right w:val="single" w:color="8A1F2D" w:sz="4"/>
            </w:tcBorders>
            <w:shd w:fill="FCEEEE" w:color="auto" w:val="clear"/>
            <w:tcMar>
              <w:top w:type="dxa" w:w="140"/>
              <w:left w:type="dxa" w:w="200"/>
              <w:bottom w:type="dxa" w:w="140"/>
              <w:right w:type="dxa" w:w="200"/>
            </w:tcMar>
          </w:tcPr>
          <w:p>
            <w:pPr>
              <w:spacing w:after="60"/>
            </w:pPr>
            <w:r>
              <w:rPr>
                <w:b/>
                <w:bCs/>
                <w:color w:val="8A1F2D"/>
                <w:sz w:val="20"/>
                <w:szCs w:val="20"/>
              </w:rPr>
              <w:t xml:space="preserve">BUILD RULE 4.7</w:t>
            </w:r>
          </w:p>
          <w:p>
            <w:pPr>
              <w:spacing w:after="0"/>
            </w:pPr>
            <w:r>
              <w:rPr>
                <w:color w:val="202020"/>
                <w:sz w:val="20"/>
                <w:szCs w:val="20"/>
              </w:rPr>
              <w:t xml:space="preserve">If this mode allows the accountant to file ON BEHALF OF a client, rather than simply the client self-filing through a practice-branded interface, that changes the AML analysis in Rule 3.8, full money-laundering supervision applies to agent-filing activity. Confirm which of these two models is intended before building this mode, they carry different regulatory obligations, and build the correct one from the start rather than retrofitting compliance after launch.</w:t>
            </w:r>
          </w:p>
        </w:tc>
      </w:tr>
    </w:tbl>
    <w:p>
      <w:pPr>
        <w:pStyle w:val="Heading2"/>
        <w:spacing w:after="140" w:before="300"/>
      </w:pPr>
      <w:r>
        <w:t xml:space="preserve">4.8 Accounting Software Integrations</w:t>
      </w:r>
    </w:p>
    <w:p>
      <w:pPr>
        <w:spacing w:after="150" w:line="300"/>
      </w:pPr>
      <w:r>
        <w:rPr>
          <w:color w:val="202020"/>
          <w:sz w:val="21"/>
          <w:szCs w:val="21"/>
        </w:rPr>
        <w:t xml:space="preserve">These integrations are not a nice-to-have feature, they are how the platform satisfies the digital-link requirement (Rule 3.3.3) without forcing every user to manually re-enter data that already exists in software they use day to day. Build priority should follow where UK micro-entities and sole traders already keep their books, not integration ease alone, though the top three below are also technically the easiest to build against.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2100"/>
        <w:gridCol w:w="2846"/>
        <w:gridCol w:w="3100"/>
      </w:tblGrid>
      <w:tr>
        <w:trPr>
          <w:tblHeader/>
        </w:trPr>
        <w:tc>
          <w:tcPr>
            <w:tcW w:type="dxa" w:w="1700"/>
            <w:shd w:fill="1F3A5F" w:color="auto" w:val="clear"/>
            <w:tcMar>
              <w:top w:type="dxa" w:w="80"/>
              <w:left w:type="dxa" w:w="100"/>
              <w:bottom w:type="dxa" w:w="80"/>
              <w:right w:type="dxa" w:w="100"/>
            </w:tcMar>
          </w:tcPr>
          <w:p>
            <w:pPr>
              <w:jc w:val="left"/>
            </w:pPr>
            <w:r>
              <w:rPr>
                <w:b/>
                <w:bCs/>
                <w:color w:val="FFFFFF"/>
                <w:sz w:val="18"/>
                <w:szCs w:val="18"/>
              </w:rPr>
              <w:t xml:space="preserve">Provider</w:t>
            </w:r>
          </w:p>
        </w:tc>
        <w:tc>
          <w:tcPr>
            <w:tcW w:type="dxa" w:w="2100"/>
            <w:shd w:fill="1F3A5F" w:color="auto" w:val="clear"/>
            <w:tcMar>
              <w:top w:type="dxa" w:w="80"/>
              <w:left w:type="dxa" w:w="100"/>
              <w:bottom w:type="dxa" w:w="80"/>
              <w:right w:type="dxa" w:w="100"/>
            </w:tcMar>
          </w:tcPr>
          <w:p>
            <w:pPr>
              <w:jc w:val="left"/>
            </w:pPr>
            <w:r>
              <w:rPr>
                <w:b/>
                <w:bCs/>
                <w:color w:val="FFFFFF"/>
                <w:sz w:val="18"/>
                <w:szCs w:val="18"/>
              </w:rPr>
              <w:t xml:space="preserve">UK market position</w:t>
            </w:r>
          </w:p>
        </w:tc>
        <w:tc>
          <w:tcPr>
            <w:tcW w:type="dxa" w:w="2846"/>
            <w:shd w:fill="1F3A5F" w:color="auto" w:val="clear"/>
            <w:tcMar>
              <w:top w:type="dxa" w:w="80"/>
              <w:left w:type="dxa" w:w="100"/>
              <w:bottom w:type="dxa" w:w="80"/>
              <w:right w:type="dxa" w:w="100"/>
            </w:tcMar>
          </w:tcPr>
          <w:p>
            <w:pPr>
              <w:jc w:val="left"/>
            </w:pPr>
            <w:r>
              <w:rPr>
                <w:b/>
                <w:bCs/>
                <w:color w:val="FFFFFF"/>
                <w:sz w:val="18"/>
                <w:szCs w:val="18"/>
              </w:rPr>
              <w:t xml:space="preserve">API type</w:t>
            </w:r>
          </w:p>
        </w:tc>
        <w:tc>
          <w:tcPr>
            <w:tcW w:type="dxa" w:w="3100"/>
            <w:shd w:fill="1F3A5F" w:color="auto" w:val="clear"/>
            <w:tcMar>
              <w:top w:type="dxa" w:w="80"/>
              <w:left w:type="dxa" w:w="100"/>
              <w:bottom w:type="dxa" w:w="80"/>
              <w:right w:type="dxa" w:w="100"/>
            </w:tcMar>
          </w:tcPr>
          <w:p>
            <w:pPr>
              <w:jc w:val="left"/>
            </w:pPr>
            <w:r>
              <w:rPr>
                <w:b/>
                <w:bCs/>
                <w:color w:val="FFFFFF"/>
                <w:sz w:val="18"/>
                <w:szCs w:val="18"/>
              </w:rPr>
              <w:t xml:space="preserve">Why it matters here</w:t>
            </w:r>
          </w:p>
        </w:tc>
      </w:tr>
      <w:tr>
        <w:tc>
          <w:tcPr>
            <w:tcW w:type="dxa" w:w="1700"/>
            <w:tcMar>
              <w:top w:type="dxa" w:w="80"/>
              <w:left w:type="dxa" w:w="100"/>
              <w:bottom w:type="dxa" w:w="80"/>
              <w:right w:type="dxa" w:w="100"/>
            </w:tcMar>
          </w:tcPr>
          <w:p>
            <w:pPr>
              <w:jc w:val="left"/>
            </w:pPr>
            <w:r>
              <w:rPr>
                <w:b w:val="false"/>
                <w:bCs w:val="false"/>
                <w:color w:val="202020"/>
                <w:sz w:val="18"/>
                <w:szCs w:val="18"/>
              </w:rPr>
              <w:t xml:space="preserve">Xero</w:t>
            </w:r>
          </w:p>
        </w:tc>
        <w:tc>
          <w:tcPr>
            <w:tcW w:type="dxa" w:w="2100"/>
            <w:tcMar>
              <w:top w:type="dxa" w:w="80"/>
              <w:left w:type="dxa" w:w="100"/>
              <w:bottom w:type="dxa" w:w="80"/>
              <w:right w:type="dxa" w:w="100"/>
            </w:tcMar>
          </w:tcPr>
          <w:p>
            <w:pPr>
              <w:jc w:val="left"/>
            </w:pPr>
            <w:r>
              <w:rPr>
                <w:b w:val="false"/>
                <w:bCs w:val="false"/>
                <w:color w:val="202020"/>
                <w:sz w:val="18"/>
                <w:szCs w:val="18"/>
              </w:rPr>
              <w:t xml:space="preserve">Market leader by advertising spend share (45.1%) in Adthena's Feb 2026 UK accounting-software analysis, positioned as the "cloud-era pace setter"</w:t>
            </w:r>
          </w:p>
        </w:tc>
        <w:tc>
          <w:tcPr>
            <w:tcW w:type="dxa" w:w="2846"/>
            <w:tcMar>
              <w:top w:type="dxa" w:w="80"/>
              <w:left w:type="dxa" w:w="100"/>
              <w:bottom w:type="dxa" w:w="80"/>
              <w:right w:type="dxa" w:w="100"/>
            </w:tcMar>
          </w:tcPr>
          <w:p>
            <w:pPr>
              <w:jc w:val="left"/>
            </w:pPr>
            <w:r>
              <w:rPr>
                <w:b w:val="false"/>
                <w:bCs w:val="false"/>
                <w:color w:val="202020"/>
                <w:sz w:val="18"/>
                <w:szCs w:val="18"/>
              </w:rPr>
              <w:t xml:space="preserve">Modern REST API, OAuth2, well documented</w:t>
            </w:r>
          </w:p>
        </w:tc>
        <w:tc>
          <w:tcPr>
            <w:tcW w:type="dxa" w:w="3100"/>
            <w:tcMar>
              <w:top w:type="dxa" w:w="80"/>
              <w:left w:type="dxa" w:w="100"/>
              <w:bottom w:type="dxa" w:w="80"/>
              <w:right w:type="dxa" w:w="100"/>
            </w:tcMar>
          </w:tcPr>
          <w:p>
            <w:pPr>
              <w:jc w:val="left"/>
            </w:pPr>
            <w:r>
              <w:rPr>
                <w:b w:val="false"/>
                <w:bCs w:val="false"/>
                <w:color w:val="202020"/>
                <w:sz w:val="18"/>
                <w:szCs w:val="18"/>
              </w:rPr>
              <w:t xml:space="preserve">TinyTax itself already integrates with Xero specifically for trial balance import, confirming this is the highest-priority integration in this exact niche</w:t>
            </w:r>
          </w:p>
        </w:tc>
      </w:tr>
      <w:tr>
        <w:tc>
          <w:tcPr>
            <w:tcW w:type="dxa" w:w="1700"/>
            <w:shd w:fill="F2F2F2" w:color="auto" w:val="clear"/>
            <w:tcMar>
              <w:top w:type="dxa" w:w="80"/>
              <w:left w:type="dxa" w:w="100"/>
              <w:bottom w:type="dxa" w:w="80"/>
              <w:right w:type="dxa" w:w="100"/>
            </w:tcMar>
          </w:tcPr>
          <w:p>
            <w:pPr>
              <w:jc w:val="left"/>
            </w:pPr>
            <w:r>
              <w:rPr>
                <w:b w:val="false"/>
                <w:bCs w:val="false"/>
                <w:color w:val="202020"/>
                <w:sz w:val="18"/>
                <w:szCs w:val="18"/>
              </w:rPr>
              <w:t xml:space="preserve">QuickBooks (Intuit)</w:t>
            </w:r>
          </w:p>
        </w:tc>
        <w:tc>
          <w:tcPr>
            <w:tcW w:type="dxa" w:w="2100"/>
            <w:shd w:fill="F2F2F2" w:color="auto" w:val="clear"/>
            <w:tcMar>
              <w:top w:type="dxa" w:w="80"/>
              <w:left w:type="dxa" w:w="100"/>
              <w:bottom w:type="dxa" w:w="80"/>
              <w:right w:type="dxa" w:w="100"/>
            </w:tcMar>
          </w:tcPr>
          <w:p>
            <w:pPr>
              <w:jc w:val="left"/>
            </w:pPr>
            <w:r>
              <w:rPr>
                <w:b w:val="false"/>
                <w:bCs w:val="false"/>
                <w:color w:val="202020"/>
                <w:sz w:val="18"/>
                <w:szCs w:val="18"/>
              </w:rPr>
              <w:t xml:space="preserve">Second by the same measure (17.8% spend share), broad small-business functionality beyond pure accounting</w:t>
            </w:r>
          </w:p>
        </w:tc>
        <w:tc>
          <w:tcPr>
            <w:tcW w:type="dxa" w:w="2846"/>
            <w:shd w:fill="F2F2F2" w:color="auto" w:val="clear"/>
            <w:tcMar>
              <w:top w:type="dxa" w:w="80"/>
              <w:left w:type="dxa" w:w="100"/>
              <w:bottom w:type="dxa" w:w="80"/>
              <w:right w:type="dxa" w:w="100"/>
            </w:tcMar>
          </w:tcPr>
          <w:p>
            <w:pPr>
              <w:jc w:val="left"/>
            </w:pPr>
            <w:r>
              <w:rPr>
                <w:b w:val="false"/>
                <w:bCs w:val="false"/>
                <w:color w:val="202020"/>
                <w:sz w:val="18"/>
                <w:szCs w:val="18"/>
              </w:rPr>
              <w:t xml:space="preserve">Modern REST API, OAuth2, well documented</w:t>
            </w:r>
          </w:p>
        </w:tc>
        <w:tc>
          <w:tcPr>
            <w:tcW w:type="dxa" w:w="3100"/>
            <w:shd w:fill="F2F2F2" w:color="auto" w:val="clear"/>
            <w:tcMar>
              <w:top w:type="dxa" w:w="80"/>
              <w:left w:type="dxa" w:w="100"/>
              <w:bottom w:type="dxa" w:w="80"/>
              <w:right w:type="dxa" w:w="100"/>
            </w:tcMar>
          </w:tcPr>
          <w:p>
            <w:pPr>
              <w:jc w:val="left"/>
            </w:pPr>
            <w:r>
              <w:rPr>
                <w:b w:val="false"/>
                <w:bCs w:val="false"/>
                <w:color w:val="202020"/>
                <w:sz w:val="18"/>
                <w:szCs w:val="18"/>
              </w:rPr>
              <w:t xml:space="preserve">Large installed base among UK sole traders and micro-companies, second integration priority</w:t>
            </w:r>
          </w:p>
        </w:tc>
      </w:tr>
      <w:tr>
        <w:tc>
          <w:tcPr>
            <w:tcW w:type="dxa" w:w="1700"/>
            <w:tcMar>
              <w:top w:type="dxa" w:w="80"/>
              <w:left w:type="dxa" w:w="100"/>
              <w:bottom w:type="dxa" w:w="80"/>
              <w:right w:type="dxa" w:w="100"/>
            </w:tcMar>
          </w:tcPr>
          <w:p>
            <w:pPr>
              <w:jc w:val="left"/>
            </w:pPr>
            <w:r>
              <w:rPr>
                <w:b w:val="false"/>
                <w:bCs w:val="false"/>
                <w:color w:val="202020"/>
                <w:sz w:val="18"/>
                <w:szCs w:val="18"/>
              </w:rPr>
              <w:t xml:space="preserve">Sage (Sage Business Cloud Accounting)</w:t>
            </w:r>
          </w:p>
        </w:tc>
        <w:tc>
          <w:tcPr>
            <w:tcW w:type="dxa" w:w="2100"/>
            <w:tcMar>
              <w:top w:type="dxa" w:w="80"/>
              <w:left w:type="dxa" w:w="100"/>
              <w:bottom w:type="dxa" w:w="80"/>
              <w:right w:type="dxa" w:w="100"/>
            </w:tcMar>
          </w:tcPr>
          <w:p>
            <w:pPr>
              <w:jc w:val="left"/>
            </w:pPr>
            <w:r>
              <w:rPr>
                <w:b w:val="false"/>
                <w:bCs w:val="false"/>
                <w:color w:val="202020"/>
                <w:sz w:val="18"/>
                <w:szCs w:val="18"/>
              </w:rPr>
              <w:t xml:space="preserve">Third by spend share (13.2%), the longest-established UK accounting brand, now pushing cloud/AI features</w:t>
            </w:r>
          </w:p>
        </w:tc>
        <w:tc>
          <w:tcPr>
            <w:tcW w:type="dxa" w:w="2846"/>
            <w:tcMar>
              <w:top w:type="dxa" w:w="80"/>
              <w:left w:type="dxa" w:w="100"/>
              <w:bottom w:type="dxa" w:w="80"/>
              <w:right w:type="dxa" w:w="100"/>
            </w:tcMar>
          </w:tcPr>
          <w:p>
            <w:pPr>
              <w:jc w:val="left"/>
            </w:pPr>
            <w:r>
              <w:rPr>
                <w:b w:val="false"/>
                <w:bCs w:val="false"/>
                <w:color w:val="202020"/>
                <w:sz w:val="18"/>
                <w:szCs w:val="18"/>
              </w:rPr>
              <w:t xml:space="preserve">REST API available, historically less consistently documented than Xero/QuickBooks in practice</w:t>
            </w:r>
          </w:p>
        </w:tc>
        <w:tc>
          <w:tcPr>
            <w:tcW w:type="dxa" w:w="3100"/>
            <w:tcMar>
              <w:top w:type="dxa" w:w="80"/>
              <w:left w:type="dxa" w:w="100"/>
              <w:bottom w:type="dxa" w:w="80"/>
              <w:right w:type="dxa" w:w="100"/>
            </w:tcMar>
          </w:tcPr>
          <w:p>
            <w:pPr>
              <w:jc w:val="left"/>
            </w:pPr>
            <w:r>
              <w:rPr>
                <w:b w:val="false"/>
                <w:bCs w:val="false"/>
                <w:color w:val="202020"/>
                <w:sz w:val="18"/>
                <w:szCs w:val="18"/>
              </w:rPr>
              <w:t xml:space="preserve">Still the default in many established UK small businesses and accountancy practices, particularly outside the newest cohort of digitally-native micro-companies</w:t>
            </w:r>
          </w:p>
        </w:tc>
      </w:tr>
      <w:tr>
        <w:tc>
          <w:tcPr>
            <w:tcW w:type="dxa" w:w="1700"/>
            <w:shd w:fill="F2F2F2" w:color="auto" w:val="clear"/>
            <w:tcMar>
              <w:top w:type="dxa" w:w="80"/>
              <w:left w:type="dxa" w:w="100"/>
              <w:bottom w:type="dxa" w:w="80"/>
              <w:right w:type="dxa" w:w="100"/>
            </w:tcMar>
          </w:tcPr>
          <w:p>
            <w:pPr>
              <w:jc w:val="left"/>
            </w:pPr>
            <w:r>
              <w:rPr>
                <w:b w:val="false"/>
                <w:bCs w:val="false"/>
                <w:color w:val="202020"/>
                <w:sz w:val="18"/>
                <w:szCs w:val="18"/>
              </w:rPr>
              <w:t xml:space="preserve">FreeAgent (owned by NatWest Group)</w:t>
            </w:r>
          </w:p>
        </w:tc>
        <w:tc>
          <w:tcPr>
            <w:tcW w:type="dxa" w:w="2100"/>
            <w:shd w:fill="F2F2F2" w:color="auto" w:val="clear"/>
            <w:tcMar>
              <w:top w:type="dxa" w:w="80"/>
              <w:left w:type="dxa" w:w="100"/>
              <w:bottom w:type="dxa" w:w="80"/>
              <w:right w:type="dxa" w:w="100"/>
            </w:tcMar>
          </w:tcPr>
          <w:p>
            <w:pPr>
              <w:jc w:val="left"/>
            </w:pPr>
            <w:r>
              <w:rPr>
                <w:b w:val="false"/>
                <w:bCs w:val="false"/>
                <w:color w:val="202020"/>
                <w:sz w:val="18"/>
                <w:szCs w:val="18"/>
              </w:rPr>
              <w:t xml:space="preserve">Not in the top-3 by ad spend, but structurally important: NatWest, Royal Bank of Scotland, Ulster Bank and Mettle business banking customers get it free</w:t>
            </w:r>
          </w:p>
        </w:tc>
        <w:tc>
          <w:tcPr>
            <w:tcW w:type="dxa" w:w="2846"/>
            <w:shd w:fill="F2F2F2" w:color="auto" w:val="clear"/>
            <w:tcMar>
              <w:top w:type="dxa" w:w="80"/>
              <w:left w:type="dxa" w:w="100"/>
              <w:bottom w:type="dxa" w:w="80"/>
              <w:right w:type="dxa" w:w="100"/>
            </w:tcMar>
          </w:tcPr>
          <w:p>
            <w:pPr>
              <w:jc w:val="left"/>
            </w:pPr>
            <w:r>
              <w:rPr>
                <w:b w:val="false"/>
                <w:bCs w:val="false"/>
                <w:color w:val="202020"/>
                <w:sz w:val="18"/>
                <w:szCs w:val="18"/>
              </w:rPr>
              <w:t xml:space="preserve">REST API available</w:t>
            </w:r>
          </w:p>
        </w:tc>
        <w:tc>
          <w:tcPr>
            <w:tcW w:type="dxa" w:w="3100"/>
            <w:shd w:fill="F2F2F2" w:color="auto" w:val="clear"/>
            <w:tcMar>
              <w:top w:type="dxa" w:w="80"/>
              <w:left w:type="dxa" w:w="100"/>
              <w:bottom w:type="dxa" w:w="80"/>
              <w:right w:type="dxa" w:w="100"/>
            </w:tcMar>
          </w:tcPr>
          <w:p>
            <w:pPr>
              <w:jc w:val="left"/>
            </w:pPr>
            <w:r>
              <w:rPr>
                <w:b w:val="false"/>
                <w:bCs w:val="false"/>
                <w:color w:val="202020"/>
                <w:sz w:val="18"/>
                <w:szCs w:val="18"/>
              </w:rPr>
              <w:t xml:space="preserve">Disproportionately common among exactly this platform's target user, a UK micro-entity or sole trader who banks with NatWest/RBS and therefore already has FreeAgent at no cost. Worth a 4th integration even outside a strict "top 3", the free-with-banking distribution channel makes its actual usage among micro-entities higher than its general market ranking suggests</w:t>
            </w:r>
          </w:p>
        </w:tc>
      </w:tr>
    </w:tbl>
    <w:p>
      <w:pPr>
        <w:spacing w:after="220" w:before="60"/>
      </w:pPr>
      <w:r>
        <w:rPr>
          <w:i/>
          <w:iCs/>
          <w:color w:val="595959"/>
          <w:sz w:val="17"/>
          <w:szCs w:val="17"/>
        </w:rPr>
        <w:t xml:space="preserve">Market share figures are advertising spend share from Adthena's February 2026 UK accounting-software analysis, a proxy for market visibility, not confirmed installed-base share, no authoritative installed-base figure could be independently verified. Treat the ranking as directionally reliable, not exact.</w:t>
      </w:r>
    </w:p>
    <w:p>
      <w:pPr>
        <w:pStyle w:val="Heading3"/>
        <w:spacing w:after="100" w:before="200"/>
      </w:pPr>
      <w:r>
        <w:t xml:space="preserve">4.8.1 What the integration must actually do</w:t>
      </w:r>
    </w:p>
    <w:p>
      <w:pPr>
        <w:pStyle w:val="ListParagraph"/>
        <w:numPr>
          <w:ilvl w:val="0"/>
          <w:numId w:val="3"/>
        </w:numPr>
        <w:spacing w:after="90" w:line="290"/>
      </w:pPr>
      <w:r>
        <w:rPr>
          <w:color w:val="202020"/>
          <w:sz w:val="21"/>
          <w:szCs w:val="21"/>
        </w:rPr>
        <w:t xml:space="preserve">Pull a trial balance or transaction-level data via each provider's own API (Section 4.2.1), reducing the CT600 and VAT modules' reliance on manual data entry.</w:t>
      </w:r>
    </w:p>
    <w:p>
      <w:pPr>
        <w:pStyle w:val="ListParagraph"/>
        <w:numPr>
          <w:ilvl w:val="0"/>
          <w:numId w:val="3"/>
        </w:numPr>
        <w:spacing w:after="90" w:line="290"/>
      </w:pPr>
      <w:r>
        <w:rPr>
          <w:color w:val="202020"/>
          <w:sz w:val="21"/>
          <w:szCs w:val="21"/>
        </w:rPr>
        <w:t xml:space="preserve">Map each provider's chart-of-accounts categories to the platform's own tax-computation categories, this mapping layer is provider-specific and needs its own maintenance as each provider evolves its API and category structures.</w:t>
      </w:r>
    </w:p>
    <w:p>
      <w:pPr>
        <w:pStyle w:val="ListParagraph"/>
        <w:numPr>
          <w:ilvl w:val="0"/>
          <w:numId w:val="3"/>
        </w:numPr>
        <w:spacing w:after="90" w:line="290"/>
      </w:pPr>
      <w:r>
        <w:rPr>
          <w:color w:val="202020"/>
          <w:sz w:val="21"/>
          <w:szCs w:val="21"/>
        </w:rPr>
        <w:t xml:space="preserve">Treat an imported figure as satisfying the digital-link requirement automatically, since it never passed through a manual keystroke (Rule 3.3.3), this is the direct product payoff of building these integrations rather than relying on CSV upload alone.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8A1F2D" w:sz="4"/>
              <w:left w:val="single" w:color="8A1F2D" w:sz="4"/>
              <w:bottom w:val="single" w:color="8A1F2D" w:sz="4"/>
              <w:right w:val="single" w:color="8A1F2D" w:sz="4"/>
            </w:tcBorders>
            <w:shd w:fill="FCEEEE" w:color="auto" w:val="clear"/>
            <w:tcMar>
              <w:top w:type="dxa" w:w="140"/>
              <w:left w:type="dxa" w:w="200"/>
              <w:bottom w:type="dxa" w:w="140"/>
              <w:right w:type="dxa" w:w="200"/>
            </w:tcMar>
          </w:tcPr>
          <w:p>
            <w:pPr>
              <w:spacing w:after="60"/>
            </w:pPr>
            <w:r>
              <w:rPr>
                <w:b/>
                <w:bCs/>
                <w:color w:val="8A1F2D"/>
                <w:sz w:val="20"/>
                <w:szCs w:val="20"/>
              </w:rPr>
              <w:t xml:space="preserve">BUILD RULE 4.8</w:t>
            </w:r>
          </w:p>
          <w:p>
            <w:pPr>
              <w:spacing w:after="0"/>
            </w:pPr>
            <w:r>
              <w:rPr>
                <w:color w:val="202020"/>
                <w:sz w:val="20"/>
                <w:szCs w:val="20"/>
              </w:rPr>
              <w:t xml:space="preserve">Build Xero first, it has the best-documented API of the three and is the integration TinyTax itself already offers, meaning it is a proven, necessary baseline in this niche rather than a differentiator. Sequence QuickBooks and Sage next based on which is more common among early users once the platform has real signup data, rather than guessing upfront. Treat FreeAgent as a strong candidate 4th integration specifically because of its free-with-business-banking distribution, not because of general market share.</w:t>
            </w:r>
          </w:p>
        </w:tc>
      </w:tr>
    </w:tbl>
    <w:p>
      <w:pPr>
        <w:pStyle w:val="Heading1"/>
        <w:spacing w:after="200" w:before="420"/>
      </w:pPr>
      <w:r>
        <w:t xml:space="preserve">5. Business Model</w:t>
      </w:r>
    </w:p>
    <w:p>
      <w:pPr>
        <w:spacing w:after="150" w:line="300"/>
      </w:pPr>
      <w:r>
        <w:rPr>
          <w:color w:val="202020"/>
          <w:sz w:val="21"/>
          <w:szCs w:val="21"/>
        </w:rPr>
        <w:t xml:space="preserve">Subscription-based, following the pricing architecture already validated in this niche by TinyTax. This is not a novel pricing model to design from scratch, it is a proven structure to replicate and refine.</w:t>
      </w:r>
    </w:p>
    <w:p>
      <w:pPr>
        <w:pStyle w:val="Heading2"/>
        <w:spacing w:after="140" w:before="300"/>
      </w:pPr>
      <w:r>
        <w:t xml:space="preserve">5.1 Pricing tiers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546"/>
      </w:tblGrid>
      <w:tr>
        <w:trPr>
          <w:tblHeader/>
        </w:trPr>
        <w:tc>
          <w:tcPr>
            <w:tcW w:type="dxa" w:w="2200"/>
            <w:shd w:fill="1F3A5F" w:color="auto" w:val="clear"/>
            <w:tcMar>
              <w:top w:type="dxa" w:w="80"/>
              <w:left w:type="dxa" w:w="100"/>
              <w:bottom w:type="dxa" w:w="80"/>
              <w:right w:type="dxa" w:w="100"/>
            </w:tcMar>
          </w:tcPr>
          <w:p>
            <w:pPr>
              <w:jc w:val="left"/>
            </w:pPr>
            <w:r>
              <w:rPr>
                <w:b/>
                <w:bCs/>
                <w:color w:val="FFFFFF"/>
                <w:sz w:val="18"/>
                <w:szCs w:val="18"/>
              </w:rPr>
              <w:t xml:space="preserve">Tier</w:t>
            </w:r>
          </w:p>
        </w:tc>
        <w:tc>
          <w:tcPr>
            <w:tcW w:type="dxa" w:w="2000"/>
            <w:shd w:fill="1F3A5F" w:color="auto" w:val="clear"/>
            <w:tcMar>
              <w:top w:type="dxa" w:w="80"/>
              <w:left w:type="dxa" w:w="100"/>
              <w:bottom w:type="dxa" w:w="80"/>
              <w:right w:type="dxa" w:w="100"/>
            </w:tcMar>
          </w:tcPr>
          <w:p>
            <w:pPr>
              <w:jc w:val="left"/>
            </w:pPr>
            <w:r>
              <w:rPr>
                <w:b/>
                <w:bCs/>
                <w:color w:val="FFFFFF"/>
                <w:sz w:val="18"/>
                <w:szCs w:val="18"/>
              </w:rPr>
              <w:t xml:space="preserve">Price</w:t>
            </w:r>
          </w:p>
        </w:tc>
        <w:tc>
          <w:tcPr>
            <w:tcW w:type="dxa" w:w="5546"/>
            <w:shd w:fill="1F3A5F" w:color="auto" w:val="clear"/>
            <w:tcMar>
              <w:top w:type="dxa" w:w="80"/>
              <w:left w:type="dxa" w:w="100"/>
              <w:bottom w:type="dxa" w:w="80"/>
              <w:right w:type="dxa" w:w="100"/>
            </w:tcMar>
          </w:tcPr>
          <w:p>
            <w:pPr>
              <w:jc w:val="left"/>
            </w:pPr>
            <w:r>
              <w:rPr>
                <w:b/>
                <w:bCs/>
                <w:color w:val="FFFFFF"/>
                <w:sz w:val="18"/>
                <w:szCs w:val="18"/>
              </w:rPr>
              <w:t xml:space="preserve">Covers</w:t>
            </w:r>
          </w:p>
        </w:tc>
      </w:tr>
      <w:tr>
        <w:tc>
          <w:tcPr>
            <w:tcW w:type="dxa" w:w="2200"/>
            <w:tcMar>
              <w:top w:type="dxa" w:w="80"/>
              <w:left w:type="dxa" w:w="100"/>
              <w:bottom w:type="dxa" w:w="80"/>
              <w:right w:type="dxa" w:w="100"/>
            </w:tcMar>
          </w:tcPr>
          <w:p>
            <w:pPr>
              <w:jc w:val="left"/>
            </w:pPr>
            <w:r>
              <w:rPr>
                <w:b w:val="false"/>
                <w:bCs w:val="false"/>
                <w:color w:val="202020"/>
                <w:sz w:val="18"/>
                <w:szCs w:val="18"/>
              </w:rPr>
              <w:t xml:space="preserve">Dormant</w:t>
            </w:r>
          </w:p>
        </w:tc>
        <w:tc>
          <w:tcPr>
            <w:tcW w:type="dxa" w:w="2000"/>
            <w:tcMar>
              <w:top w:type="dxa" w:w="80"/>
              <w:left w:type="dxa" w:w="100"/>
              <w:bottom w:type="dxa" w:w="80"/>
              <w:right w:type="dxa" w:w="100"/>
            </w:tcMar>
          </w:tcPr>
          <w:p>
            <w:pPr>
              <w:jc w:val="left"/>
            </w:pPr>
            <w:r>
              <w:rPr>
                <w:b w:val="false"/>
                <w:bCs w:val="false"/>
                <w:color w:val="202020"/>
                <w:sz w:val="18"/>
                <w:szCs w:val="18"/>
              </w:rPr>
              <w:t xml:space="preserve">£20/year</w:t>
            </w:r>
          </w:p>
        </w:tc>
        <w:tc>
          <w:tcPr>
            <w:tcW w:type="dxa" w:w="5546"/>
            <w:tcMar>
              <w:top w:type="dxa" w:w="80"/>
              <w:left w:type="dxa" w:w="100"/>
              <w:bottom w:type="dxa" w:w="80"/>
              <w:right w:type="dxa" w:w="100"/>
            </w:tcMar>
          </w:tcPr>
          <w:p>
            <w:pPr>
              <w:jc w:val="left"/>
            </w:pPr>
            <w:r>
              <w:rPr>
                <w:b w:val="false"/>
                <w:bCs w:val="false"/>
                <w:color w:val="202020"/>
                <w:sz w:val="18"/>
                <w:szCs w:val="18"/>
              </w:rPr>
              <w:t xml:space="preserve">A single non-trading company, CT600 filing and accounts generation</w:t>
            </w:r>
          </w:p>
        </w:tc>
      </w:tr>
      <w:tr>
        <w:tc>
          <w:tcPr>
            <w:tcW w:type="dxa" w:w="2200"/>
            <w:shd w:fill="F2F2F2" w:color="auto" w:val="clear"/>
            <w:tcMar>
              <w:top w:type="dxa" w:w="80"/>
              <w:left w:type="dxa" w:w="100"/>
              <w:bottom w:type="dxa" w:w="80"/>
              <w:right w:type="dxa" w:w="100"/>
            </w:tcMar>
          </w:tcPr>
          <w:p>
            <w:pPr>
              <w:jc w:val="left"/>
            </w:pPr>
            <w:r>
              <w:rPr>
                <w:b w:val="false"/>
                <w:bCs w:val="false"/>
                <w:color w:val="202020"/>
                <w:sz w:val="18"/>
                <w:szCs w:val="18"/>
              </w:rPr>
              <w:t xml:space="preserve">Solo</w:t>
            </w:r>
          </w:p>
        </w:tc>
        <w:tc>
          <w:tcPr>
            <w:tcW w:type="dxa" w:w="2000"/>
            <w:shd w:fill="F2F2F2" w:color="auto" w:val="clear"/>
            <w:tcMar>
              <w:top w:type="dxa" w:w="80"/>
              <w:left w:type="dxa" w:w="100"/>
              <w:bottom w:type="dxa" w:w="80"/>
              <w:right w:type="dxa" w:w="100"/>
            </w:tcMar>
          </w:tcPr>
          <w:p>
            <w:pPr>
              <w:jc w:val="left"/>
            </w:pPr>
            <w:r>
              <w:rPr>
                <w:b w:val="false"/>
                <w:bCs w:val="false"/>
                <w:color w:val="202020"/>
                <w:sz w:val="18"/>
                <w:szCs w:val="18"/>
              </w:rPr>
              <w:t xml:space="preserve">£59/year</w:t>
            </w:r>
          </w:p>
        </w:tc>
        <w:tc>
          <w:tcPr>
            <w:tcW w:type="dxa" w:w="5546"/>
            <w:shd w:fill="F2F2F2" w:color="auto" w:val="clear"/>
            <w:tcMar>
              <w:top w:type="dxa" w:w="80"/>
              <w:left w:type="dxa" w:w="100"/>
              <w:bottom w:type="dxa" w:w="80"/>
              <w:right w:type="dxa" w:w="100"/>
            </w:tcMar>
          </w:tcPr>
          <w:p>
            <w:pPr>
              <w:jc w:val="left"/>
            </w:pPr>
            <w:r>
              <w:rPr>
                <w:b w:val="false"/>
                <w:bCs w:val="false"/>
                <w:color w:val="202020"/>
                <w:sz w:val="18"/>
                <w:szCs w:val="18"/>
              </w:rPr>
              <w:t xml:space="preserve">A single trading company, full CT600, accounts and computations</w:t>
            </w:r>
          </w:p>
        </w:tc>
      </w:tr>
      <w:tr>
        <w:tc>
          <w:tcPr>
            <w:tcW w:type="dxa" w:w="2200"/>
            <w:tcMar>
              <w:top w:type="dxa" w:w="80"/>
              <w:left w:type="dxa" w:w="100"/>
              <w:bottom w:type="dxa" w:w="80"/>
              <w:right w:type="dxa" w:w="100"/>
            </w:tcMar>
          </w:tcPr>
          <w:p>
            <w:pPr>
              <w:jc w:val="left"/>
            </w:pPr>
            <w:r>
              <w:rPr>
                <w:b w:val="false"/>
                <w:bCs w:val="false"/>
                <w:color w:val="202020"/>
                <w:sz w:val="18"/>
                <w:szCs w:val="18"/>
              </w:rPr>
              <w:t xml:space="preserve">Portfolio (2-3)</w:t>
            </w:r>
          </w:p>
        </w:tc>
        <w:tc>
          <w:tcPr>
            <w:tcW w:type="dxa" w:w="2000"/>
            <w:tcMar>
              <w:top w:type="dxa" w:w="80"/>
              <w:left w:type="dxa" w:w="100"/>
              <w:bottom w:type="dxa" w:w="80"/>
              <w:right w:type="dxa" w:w="100"/>
            </w:tcMar>
          </w:tcPr>
          <w:p>
            <w:pPr>
              <w:jc w:val="left"/>
            </w:pPr>
            <w:r>
              <w:rPr>
                <w:b w:val="false"/>
                <w:bCs w:val="false"/>
                <w:color w:val="202020"/>
                <w:sz w:val="18"/>
                <w:szCs w:val="18"/>
              </w:rPr>
              <w:t xml:space="preserve">£99/year</w:t>
            </w:r>
          </w:p>
        </w:tc>
        <w:tc>
          <w:tcPr>
            <w:tcW w:type="dxa" w:w="5546"/>
            <w:tcMar>
              <w:top w:type="dxa" w:w="80"/>
              <w:left w:type="dxa" w:w="100"/>
              <w:bottom w:type="dxa" w:w="80"/>
              <w:right w:type="dxa" w:w="100"/>
            </w:tcMar>
          </w:tcPr>
          <w:p>
            <w:pPr>
              <w:jc w:val="left"/>
            </w:pPr>
            <w:r>
              <w:rPr>
                <w:b w:val="false"/>
                <w:bCs w:val="false"/>
                <w:color w:val="202020"/>
                <w:sz w:val="18"/>
                <w:szCs w:val="18"/>
              </w:rPr>
              <w:t xml:space="preserve">2 to 3 companies, unlimited team members on the account</w:t>
            </w:r>
          </w:p>
        </w:tc>
      </w:tr>
      <w:tr>
        <w:tc>
          <w:tcPr>
            <w:tcW w:type="dxa" w:w="2200"/>
            <w:shd w:fill="F2F2F2" w:color="auto" w:val="clear"/>
            <w:tcMar>
              <w:top w:type="dxa" w:w="80"/>
              <w:left w:type="dxa" w:w="100"/>
              <w:bottom w:type="dxa" w:w="80"/>
              <w:right w:type="dxa" w:w="100"/>
            </w:tcMar>
          </w:tcPr>
          <w:p>
            <w:pPr>
              <w:jc w:val="left"/>
            </w:pPr>
            <w:r>
              <w:rPr>
                <w:b w:val="false"/>
                <w:bCs w:val="false"/>
                <w:color w:val="202020"/>
                <w:sz w:val="18"/>
                <w:szCs w:val="18"/>
              </w:rPr>
              <w:t xml:space="preserve">Portfolio (up to 12)</w:t>
            </w:r>
          </w:p>
        </w:tc>
        <w:tc>
          <w:tcPr>
            <w:tcW w:type="dxa" w:w="2000"/>
            <w:shd w:fill="F2F2F2" w:color="auto" w:val="clear"/>
            <w:tcMar>
              <w:top w:type="dxa" w:w="80"/>
              <w:left w:type="dxa" w:w="100"/>
              <w:bottom w:type="dxa" w:w="80"/>
              <w:right w:type="dxa" w:w="100"/>
            </w:tcMar>
          </w:tcPr>
          <w:p>
            <w:pPr>
              <w:jc w:val="left"/>
            </w:pPr>
            <w:r>
              <w:rPr>
                <w:b w:val="false"/>
                <w:bCs w:val="false"/>
                <w:color w:val="202020"/>
                <w:sz w:val="18"/>
                <w:szCs w:val="18"/>
              </w:rPr>
              <w:t xml:space="preserve">£189/year</w:t>
            </w:r>
          </w:p>
        </w:tc>
        <w:tc>
          <w:tcPr>
            <w:tcW w:type="dxa" w:w="5546"/>
            <w:shd w:fill="F2F2F2" w:color="auto" w:val="clear"/>
            <w:tcMar>
              <w:top w:type="dxa" w:w="80"/>
              <w:left w:type="dxa" w:w="100"/>
              <w:bottom w:type="dxa" w:w="80"/>
              <w:right w:type="dxa" w:w="100"/>
            </w:tcMar>
          </w:tcPr>
          <w:p>
            <w:pPr>
              <w:jc w:val="left"/>
            </w:pPr>
            <w:r>
              <w:rPr>
                <w:b w:val="false"/>
                <w:bCs w:val="false"/>
                <w:color w:val="202020"/>
                <w:sz w:val="18"/>
                <w:szCs w:val="18"/>
              </w:rPr>
              <w:t xml:space="preserve">Practice tier for accountants/bookkeepers managing up to 12 companies</w:t>
            </w:r>
          </w:p>
        </w:tc>
      </w:tr>
      <w:tr>
        <w:tc>
          <w:tcPr>
            <w:tcW w:type="dxa" w:w="2200"/>
            <w:tcMar>
              <w:top w:type="dxa" w:w="80"/>
              <w:left w:type="dxa" w:w="100"/>
              <w:bottom w:type="dxa" w:w="80"/>
              <w:right w:type="dxa" w:w="100"/>
            </w:tcMar>
          </w:tcPr>
          <w:p>
            <w:pPr>
              <w:jc w:val="left"/>
            </w:pPr>
            <w:r>
              <w:rPr>
                <w:b w:val="false"/>
                <w:bCs w:val="false"/>
                <w:color w:val="202020"/>
                <w:sz w:val="18"/>
                <w:szCs w:val="18"/>
              </w:rPr>
              <w:t xml:space="preserve">Portfolio (up to 50 / 150 / 250 / 500 / 1000)</w:t>
            </w:r>
          </w:p>
        </w:tc>
        <w:tc>
          <w:tcPr>
            <w:tcW w:type="dxa" w:w="2000"/>
            <w:tcMar>
              <w:top w:type="dxa" w:w="80"/>
              <w:left w:type="dxa" w:w="100"/>
              <w:bottom w:type="dxa" w:w="80"/>
              <w:right w:type="dxa" w:w="100"/>
            </w:tcMar>
          </w:tcPr>
          <w:p>
            <w:pPr>
              <w:jc w:val="left"/>
            </w:pPr>
            <w:r>
              <w:rPr>
                <w:b w:val="false"/>
                <w:bCs w:val="false"/>
                <w:color w:val="202020"/>
                <w:sz w:val="18"/>
                <w:szCs w:val="18"/>
              </w:rPr>
              <w:t xml:space="preserve">£319 to £999/year</w:t>
            </w:r>
          </w:p>
        </w:tc>
        <w:tc>
          <w:tcPr>
            <w:tcW w:type="dxa" w:w="5546"/>
            <w:tcMar>
              <w:top w:type="dxa" w:w="80"/>
              <w:left w:type="dxa" w:w="100"/>
              <w:bottom w:type="dxa" w:w="80"/>
              <w:right w:type="dxa" w:w="100"/>
            </w:tcMar>
          </w:tcPr>
          <w:p>
            <w:pPr>
              <w:jc w:val="left"/>
            </w:pPr>
            <w:r>
              <w:rPr>
                <w:b w:val="false"/>
                <w:bCs w:val="false"/>
                <w:color w:val="202020"/>
                <w:sz w:val="18"/>
                <w:szCs w:val="18"/>
              </w:rPr>
              <w:t xml:space="preserve">Larger practice tiers, priced per company-volume band</w:t>
            </w:r>
          </w:p>
        </w:tc>
      </w:tr>
      <w:tr>
        <w:tc>
          <w:tcPr>
            <w:tcW w:type="dxa" w:w="2200"/>
            <w:shd w:fill="F2F2F2" w:color="auto" w:val="clear"/>
            <w:tcMar>
              <w:top w:type="dxa" w:w="80"/>
              <w:left w:type="dxa" w:w="100"/>
              <w:bottom w:type="dxa" w:w="80"/>
              <w:right w:type="dxa" w:w="100"/>
            </w:tcMar>
          </w:tcPr>
          <w:p>
            <w:pPr>
              <w:jc w:val="left"/>
            </w:pPr>
            <w:r>
              <w:rPr>
                <w:b w:val="false"/>
                <w:bCs w:val="false"/>
                <w:color w:val="202020"/>
                <w:sz w:val="18"/>
                <w:szCs w:val="18"/>
              </w:rPr>
              <w:t xml:space="preserve">MTD VAT add-on</w:t>
            </w:r>
          </w:p>
        </w:tc>
        <w:tc>
          <w:tcPr>
            <w:tcW w:type="dxa" w:w="2000"/>
            <w:shd w:fill="F2F2F2" w:color="auto" w:val="clear"/>
            <w:tcMar>
              <w:top w:type="dxa" w:w="80"/>
              <w:left w:type="dxa" w:w="100"/>
              <w:bottom w:type="dxa" w:w="80"/>
              <w:right w:type="dxa" w:w="100"/>
            </w:tcMar>
          </w:tcPr>
          <w:p>
            <w:pPr>
              <w:jc w:val="left"/>
            </w:pPr>
            <w:r>
              <w:rPr>
                <w:b w:val="false"/>
                <w:bCs w:val="false"/>
                <w:color w:val="202020"/>
                <w:sz w:val="18"/>
                <w:szCs w:val="18"/>
              </w:rPr>
              <w:t xml:space="preserve">£49 to £263/year</w:t>
            </w:r>
          </w:p>
        </w:tc>
        <w:tc>
          <w:tcPr>
            <w:tcW w:type="dxa" w:w="5546"/>
            <w:shd w:fill="F2F2F2" w:color="auto" w:val="clear"/>
            <w:tcMar>
              <w:top w:type="dxa" w:w="80"/>
              <w:left w:type="dxa" w:w="100"/>
              <w:bottom w:type="dxa" w:w="80"/>
              <w:right w:type="dxa" w:w="100"/>
            </w:tcMar>
          </w:tcPr>
          <w:p>
            <w:pPr>
              <w:jc w:val="left"/>
            </w:pPr>
            <w:r>
              <w:rPr>
                <w:b w:val="false"/>
                <w:bCs w:val="false"/>
                <w:color w:val="202020"/>
                <w:sz w:val="18"/>
                <w:szCs w:val="18"/>
              </w:rPr>
              <w:t xml:space="preserve">Priced by number of VAT-registered entities (VRNs), separate from the CT600 tiers above</w:t>
            </w:r>
          </w:p>
        </w:tc>
      </w:tr>
    </w:tbl>
    <w:p>
      <w:pPr>
        <w:spacing w:after="220" w:before="60"/>
      </w:pPr>
      <w:r>
        <w:rPr>
          <w:i/>
          <w:iCs/>
          <w:color w:val="595959"/>
          <w:sz w:val="17"/>
          <w:szCs w:val="17"/>
        </w:rPr>
        <w:t xml:space="preserve">Reference pricing, modelled on a directly comparable existing product in this exact niche. Final pricing is a commercial decision, not an engineering one, but the tier STRUCTURE (per-entity, volume-banded, with a separate VAT add-on) is what the platform's billing and account model needs to support.</w:t>
      </w:r>
    </w:p>
    <w:p>
      <w:pPr>
        <w:pStyle w:val="Heading2"/>
        <w:spacing w:after="140" w:before="300"/>
      </w:pPr>
      <w:r>
        <w:t xml:space="preserve">5.2 What the tiered structure means for the account/billing data model</w:t>
      </w:r>
    </w:p>
    <w:p>
      <w:pPr>
        <w:pStyle w:val="ListParagraph"/>
        <w:numPr>
          <w:ilvl w:val="0"/>
          <w:numId w:val="3"/>
        </w:numPr>
        <w:spacing w:after="90" w:line="290"/>
      </w:pPr>
      <w:r>
        <w:rPr>
          <w:color w:val="202020"/>
          <w:sz w:val="21"/>
          <w:szCs w:val="21"/>
        </w:rPr>
        <w:t xml:space="preserve">A user account can hold multiple company entities, each independently subscribed, this drives the Portfolio tiers.</w:t>
      </w:r>
    </w:p>
    <w:p>
      <w:pPr>
        <w:pStyle w:val="ListParagraph"/>
        <w:numPr>
          <w:ilvl w:val="0"/>
          <w:numId w:val="3"/>
        </w:numPr>
        <w:spacing w:after="90" w:line="290"/>
      </w:pPr>
      <w:r>
        <w:rPr>
          <w:color w:val="202020"/>
          <w:sz w:val="21"/>
          <w:szCs w:val="21"/>
        </w:rPr>
        <w:t xml:space="preserve">VAT is billed separately from CT600/accounts filing, per registered entity (VRN), not bundled into the base subscription. The billing system needs to track entitlements per filing type per entity, not just one flat per-account subscription flag.</w:t>
      </w:r>
    </w:p>
    <w:p>
      <w:pPr>
        <w:pStyle w:val="ListParagraph"/>
        <w:numPr>
          <w:ilvl w:val="0"/>
          <w:numId w:val="3"/>
        </w:numPr>
        <w:spacing w:after="90" w:line="290"/>
      </w:pPr>
      <w:r>
        <w:rPr>
          <w:color w:val="202020"/>
          <w:sz w:val="21"/>
          <w:szCs w:val="21"/>
        </w:rPr>
        <w:t xml:space="preserve">A free or near-free entry tier (Dormant, and historically some CT600 filing has been offered free by competitors as a customer-acquisition wedge) is a deliberate low-friction entry point, not a mistake, budget for a genuinely low or zero marginal cost to serve this tier since it may generate little or no revenue per user.</w:t>
      </w:r>
    </w:p>
    <w:p>
      <w:pPr>
        <w:pStyle w:val="Heading2"/>
        <w:spacing w:after="140" w:before="300"/>
      </w:pPr>
      <w:r>
        <w:t xml:space="preserve">5.3 Revenue mechanics</w:t>
      </w:r>
    </w:p>
    <w:p>
      <w:pPr>
        <w:pStyle w:val="ListParagraph"/>
        <w:numPr>
          <w:ilvl w:val="0"/>
          <w:numId w:val="3"/>
        </w:numPr>
        <w:spacing w:after="90" w:line="290"/>
      </w:pPr>
      <w:r>
        <w:rPr>
          <w:color w:val="202020"/>
          <w:sz w:val="21"/>
          <w:szCs w:val="21"/>
        </w:rPr>
        <w:t xml:space="preserve">Recurring annual subscription per entity, auto-renewing, billed via Stripe or GoCardless (never handle card data directly, this offloads PCI-DSS compliance to the processor).</w:t>
      </w:r>
    </w:p>
    <w:p>
      <w:pPr>
        <w:pStyle w:val="ListParagraph"/>
        <w:numPr>
          <w:ilvl w:val="0"/>
          <w:numId w:val="3"/>
        </w:numPr>
        <w:spacing w:after="90" w:line="290"/>
      </w:pPr>
      <w:r>
        <w:rPr>
          <w:color w:val="202020"/>
          <w:sz w:val="21"/>
          <w:szCs w:val="21"/>
        </w:rPr>
        <w:t xml:space="preserve">Practice/accountant tiers are the primary channel-growth lever in this niche (see the accompanying market guide, Section 4 Peer Analysis), one accountant relationship can bring many end-client companies onto the platform through a single sales relationship, this should be reflected in pricing tiers with steep volume discounts, matching the table above.</w:t>
      </w:r>
    </w:p>
    <w:p>
      <w:pPr>
        <w:pStyle w:val="Heading2"/>
        <w:spacing w:after="140" w:before="300"/>
      </w:pPr>
      <w:r>
        <w:t xml:space="preserve">5.4 What this section deliberately does not cover</w:t>
      </w:r>
    </w:p>
    <w:p>
      <w:pPr>
        <w:spacing w:after="150" w:line="300"/>
      </w:pPr>
      <w:r>
        <w:rPr>
          <w:color w:val="202020"/>
          <w:sz w:val="21"/>
          <w:szCs w:val="21"/>
        </w:rPr>
        <w:t xml:space="preserve">Detailed unit economics, customer acquisition strategy, and market positioning are covered in the separate business-planning guide already produced for this project, not repeated here since this document is scoped to what the engineering team needs to build, not the go-to-market plan.</w:t>
      </w:r>
    </w:p>
    <w:p>
      <w:pPr>
        <w:pStyle w:val="Heading1"/>
        <w:spacing w:after="200" w:before="420"/>
      </w:pPr>
      <w:r>
        <w:t xml:space="preserve">6. Non-Functional Requirements</w:t>
      </w:r>
    </w:p>
    <w:p>
      <w:pPr>
        <w:pStyle w:val="Heading2"/>
        <w:spacing w:after="140" w:before="300"/>
      </w:pPr>
      <w:r>
        <w:t xml:space="preserve">6.1 Performance and availability</w:t>
      </w:r>
    </w:p>
    <w:p>
      <w:pPr>
        <w:pStyle w:val="ListParagraph"/>
        <w:numPr>
          <w:ilvl w:val="0"/>
          <w:numId w:val="3"/>
        </w:numPr>
        <w:spacing w:after="90" w:line="290"/>
      </w:pPr>
      <w:r>
        <w:rPr>
          <w:color w:val="202020"/>
          <w:sz w:val="21"/>
          <w:szCs w:val="21"/>
        </w:rPr>
        <w:t xml:space="preserve">The platform must remain available and responsive around statutory deadline dates (31 January, VAT quarter-ends, CT600 deadlines), this is when usage spikes hardest and an outage has the most severe consequence for users, a missed legal deadline.</w:t>
      </w:r>
    </w:p>
    <w:p>
      <w:pPr>
        <w:pStyle w:val="ListParagraph"/>
        <w:numPr>
          <w:ilvl w:val="0"/>
          <w:numId w:val="3"/>
        </w:numPr>
        <w:spacing w:after="90" w:line="290"/>
      </w:pPr>
      <w:r>
        <w:rPr>
          <w:color w:val="202020"/>
          <w:sz w:val="21"/>
          <w:szCs w:val="21"/>
        </w:rPr>
        <w:t xml:space="preserve">Submission to HMRC/Companies House APIs must be resilient to those systems' own downtime or rate-limiting, queue and retry submissions rather than failing silently, and clearly show the user the true status (submitted, pending, accepted, rejected) rather than assuming success.</w:t>
      </w:r>
    </w:p>
    <w:p>
      <w:pPr>
        <w:pStyle w:val="Heading2"/>
        <w:spacing w:after="140" w:before="300"/>
      </w:pPr>
      <w:r>
        <w:t xml:space="preserve">6.2 Security</w:t>
      </w:r>
    </w:p>
    <w:p>
      <w:pPr>
        <w:pStyle w:val="ListParagraph"/>
        <w:numPr>
          <w:ilvl w:val="0"/>
          <w:numId w:val="3"/>
        </w:numPr>
        <w:spacing w:after="90" w:line="290"/>
      </w:pPr>
      <w:r>
        <w:rPr>
          <w:color w:val="202020"/>
          <w:sz w:val="21"/>
          <w:szCs w:val="21"/>
        </w:rPr>
        <w:t xml:space="preserve">Two-factor authentication on all user accounts, given the financial and personal data involved (Section 3.7).</w:t>
      </w:r>
    </w:p>
    <w:p>
      <w:pPr>
        <w:pStyle w:val="ListParagraph"/>
        <w:numPr>
          <w:ilvl w:val="0"/>
          <w:numId w:val="3"/>
        </w:numPr>
        <w:spacing w:after="90" w:line="290"/>
      </w:pPr>
      <w:r>
        <w:rPr>
          <w:color w:val="202020"/>
          <w:sz w:val="21"/>
          <w:szCs w:val="21"/>
        </w:rPr>
        <w:t xml:space="preserve">Encryption of personal and financial data at rest and in transit (Section 3.7.2).</w:t>
      </w:r>
    </w:p>
    <w:p>
      <w:pPr>
        <w:pStyle w:val="ListParagraph"/>
        <w:numPr>
          <w:ilvl w:val="0"/>
          <w:numId w:val="3"/>
        </w:numPr>
        <w:spacing w:after="90" w:line="290"/>
      </w:pPr>
      <w:r>
        <w:rPr>
          <w:color w:val="202020"/>
          <w:sz w:val="21"/>
          <w:szCs w:val="21"/>
        </w:rPr>
        <w:t xml:space="preserve">The platform must never store a user's HMRC Government Gateway password, only OAuth2 tokens or equivalent session credentials HMRC itself issues (Section 4.1, step 5).</w:t>
      </w:r>
    </w:p>
    <w:p>
      <w:pPr>
        <w:pStyle w:val="ListParagraph"/>
        <w:numPr>
          <w:ilvl w:val="0"/>
          <w:numId w:val="3"/>
        </w:numPr>
        <w:spacing w:after="90" w:line="290"/>
      </w:pPr>
      <w:r>
        <w:rPr>
          <w:color w:val="202020"/>
          <w:sz w:val="21"/>
          <w:szCs w:val="21"/>
        </w:rPr>
        <w:t xml:space="preserve">Role-based access control for the practice/accountant mode (Section 4.7), so one team member's access can be scoped to specific client entities rather than the whole practice's data by default.</w:t>
      </w:r>
    </w:p>
    <w:p>
      <w:pPr>
        <w:pStyle w:val="Heading2"/>
        <w:spacing w:after="140" w:before="300"/>
      </w:pPr>
      <w:r>
        <w:t xml:space="preserve">6.3 Data retention</w:t>
      </w:r>
    </w:p>
    <w:p>
      <w:pPr>
        <w:pStyle w:val="ListParagraph"/>
        <w:numPr>
          <w:ilvl w:val="0"/>
          <w:numId w:val="3"/>
        </w:numPr>
        <w:spacing w:after="90" w:line="290"/>
      </w:pPr>
      <w:r>
        <w:rPr>
          <w:color w:val="202020"/>
          <w:sz w:val="21"/>
          <w:szCs w:val="21"/>
        </w:rPr>
        <w:t xml:space="preserve">Retain submitted returns, generated iXBRL documents, and submission receipts for at least as long as UK statutory record-keeping requirements demand (generally 6 years for company tax records), overriding a user's erasure request for that specific data where the law requires retention (Section 3.7.2).</w:t>
      </w:r>
    </w:p>
    <w:p>
      <w:pPr>
        <w:pStyle w:val="Heading2"/>
        <w:spacing w:after="140" w:before="300"/>
      </w:pPr>
      <w:r>
        <w:t xml:space="preserve">6.4 Auditability</w:t>
      </w:r>
    </w:p>
    <w:p>
      <w:pPr>
        <w:pStyle w:val="ListParagraph"/>
        <w:numPr>
          <w:ilvl w:val="0"/>
          <w:numId w:val="3"/>
        </w:numPr>
        <w:spacing w:after="90" w:line="290"/>
      </w:pPr>
      <w:r>
        <w:rPr>
          <w:color w:val="202020"/>
          <w:sz w:val="21"/>
          <w:szCs w:val="21"/>
        </w:rPr>
        <w:t xml:space="preserve">Every calculation, submission, and user action affecting a filing must be logged with a timestamp and the exact data used, sufficient to reconstruct and explain any historical filing if HMRC or the user queries it later (Section 4.6.2).</w:t>
      </w:r>
    </w:p>
    <w:p>
      <w:pPr>
        <w:pStyle w:val="Heading1"/>
        <w:spacing w:after="200" w:before="420"/>
      </w:pPr>
      <w:r>
        <w:t xml:space="preserve">7. Technical Integration and Submission Architecture</w:t>
      </w:r>
    </w:p>
    <w:p>
      <w:pPr>
        <w:spacing w:after="150" w:line="300"/>
      </w:pPr>
      <w:r>
        <w:rPr>
          <w:color w:val="202020"/>
          <w:sz w:val="21"/>
          <w:szCs w:val="21"/>
        </w:rPr>
        <w:t xml:space="preserve">This section covers both accreditation (how the platform becomes allowed to file at all) and the submission architecture (how an individual filing actually moves through the system once the platform is accredited). The two are often conflated by a first-time build, they are separate problems with separate failure modes.</w:t>
      </w:r>
    </w:p>
    <w:p>
      <w:pPr>
        <w:pStyle w:val="Heading2"/>
        <w:spacing w:after="140" w:before="300"/>
      </w:pPr>
      <w:r>
        <w:t xml:space="preserve">7.1 HMRC Developer Hub</w:t>
      </w:r>
    </w:p>
    <w:p>
      <w:pPr>
        <w:spacing w:after="150" w:line="300"/>
      </w:pPr>
      <w:r>
        <w:rPr>
          <w:color w:val="202020"/>
          <w:sz w:val="21"/>
          <w:szCs w:val="21"/>
        </w:rPr>
        <w:t xml:space="preserve">Register a developer account, build and test against sandbox APIs first (no live filings), then apply for production credentials once the integration passes internal testing. Official guidance states production review takes up to 10 working days, first-time applicants should budget longer for the build and testing work leading up to that application, not just the review itself.</w:t>
      </w:r>
    </w:p>
    <w:p>
      <w:pPr>
        <w:pStyle w:val="ListParagraph"/>
        <w:numPr>
          <w:ilvl w:val="0"/>
          <w:numId w:val="3"/>
        </w:numPr>
        <w:spacing w:after="90" w:line="290"/>
      </w:pPr>
      <w:r>
        <w:rPr>
          <w:color w:val="202020"/>
          <w:sz w:val="21"/>
          <w:szCs w:val="21"/>
        </w:rPr>
        <w:t xml:space="preserve">VAT and MTD ITSA: modern REST/OAuth2 APIs, documented with an OpenAPI spec, including a test-scenario header for simulating different sandbox responses.</w:t>
      </w:r>
    </w:p>
    <w:p>
      <w:pPr>
        <w:pStyle w:val="ListParagraph"/>
        <w:numPr>
          <w:ilvl w:val="0"/>
          <w:numId w:val="3"/>
        </w:numPr>
        <w:spacing w:after="90" w:line="290"/>
      </w:pPr>
      <w:r>
        <w:rPr>
          <w:color w:val="202020"/>
          <w:sz w:val="21"/>
          <w:szCs w:val="21"/>
        </w:rPr>
        <w:t xml:space="preserve">CT600 and legacy SA100: older XML/Government Gateway mechanism, documented separately from the REST API family, budget more integration and testing time for this path (Section 4.0).</w:t>
      </w:r>
    </w:p>
    <w:p>
      <w:pPr>
        <w:pStyle w:val="ListParagraph"/>
        <w:numPr>
          <w:ilvl w:val="0"/>
          <w:numId w:val="3"/>
        </w:numPr>
        <w:spacing w:after="90" w:line="290"/>
      </w:pPr>
      <w:r>
        <w:rPr>
          <w:color w:val="202020"/>
          <w:sz w:val="21"/>
          <w:szCs w:val="21"/>
        </w:rPr>
        <w:t xml:space="preserve">For the CT600/XML path specifically, HMRC allocates a 4-digit Vendor ID through its Software Developer Support Team as a distinct step, separate from simply registering on the Developer Hub portal. Confirm the current registration route directly with that team before assuming the standard Developer Hub self-service flow covers it, the two XML and REST families have historically used different onboarding processes.</w:t>
      </w:r>
    </w:p>
    <w:p>
      <w:pPr>
        <w:pStyle w:val="ListParagraph"/>
        <w:numPr>
          <w:ilvl w:val="0"/>
          <w:numId w:val="3"/>
        </w:numPr>
        <w:spacing w:after="90" w:line="290"/>
      </w:pPr>
      <w:r>
        <w:rPr>
          <w:color w:val="202020"/>
          <w:sz w:val="21"/>
          <w:szCs w:val="21"/>
        </w:rPr>
        <w:t xml:space="preserve">Testing for the XML/Government Gateway path runs through three distinct stages, in order: the Local Test Service (runs on the vendor's own machine against canned responses), then the External Test Service (a live HMRC test environment), then a set of HMRC-issued recognition scenarios that must pass before production accreditation is granted. Budget calendar time for all three, not just the final gate.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8A1F2D" w:sz="4"/>
              <w:left w:val="single" w:color="8A1F2D" w:sz="4"/>
              <w:bottom w:val="single" w:color="8A1F2D" w:sz="4"/>
              <w:right w:val="single" w:color="8A1F2D" w:sz="4"/>
            </w:tcBorders>
            <w:shd w:fill="FCEEEE" w:color="auto" w:val="clear"/>
            <w:tcMar>
              <w:top w:type="dxa" w:w="140"/>
              <w:left w:type="dxa" w:w="200"/>
              <w:bottom w:type="dxa" w:w="140"/>
              <w:right w:type="dxa" w:w="200"/>
            </w:tcMar>
          </w:tcPr>
          <w:p>
            <w:pPr>
              <w:spacing w:after="60"/>
            </w:pPr>
            <w:r>
              <w:rPr>
                <w:b/>
                <w:bCs/>
                <w:color w:val="8A1F2D"/>
                <w:sz w:val="20"/>
                <w:szCs w:val="20"/>
              </w:rPr>
              <w:t xml:space="preserve">BUILD RULE 7.1</w:t>
            </w:r>
          </w:p>
          <w:p>
            <w:pPr>
              <w:spacing w:after="0"/>
            </w:pPr>
            <w:r>
              <w:rPr>
                <w:color w:val="202020"/>
                <w:sz w:val="20"/>
                <w:szCs w:val="20"/>
              </w:rPr>
              <w:t xml:space="preserve">"Test in Live" (where a user's own real submission is marked as a test inside HMRC's production system) is an end-user-facing feature for rehearsing a real filing, it is not a substitute for the vendor's own Local Test Service / External Test Service / recognition-scenario accreditation path described above. Do not treat passing a Test in Live submission as equivalent to having passed vendor accreditation.</w:t>
            </w:r>
          </w:p>
        </w:tc>
      </w:tr>
    </w:tbl>
    <w:p>
      <w:pPr>
        <w:pStyle w:val="Heading2"/>
        <w:spacing w:after="140" w:before="300"/>
      </w:pPr>
      <w:r>
        <w:t xml:space="preserve">7.2 Companies House API</w:t>
      </w:r>
    </w:p>
    <w:p>
      <w:pPr>
        <w:spacing w:after="150" w:line="300"/>
      </w:pPr>
      <w:r>
        <w:rPr>
          <w:color w:val="202020"/>
          <w:sz w:val="21"/>
          <w:szCs w:val="21"/>
        </w:rPr>
        <w:t xml:space="preserve">A separate accreditation from HMRC's, register as a filing presenter and pass Companies House's own test-transaction suite before submitting live iXBRL accounts to the public register. Do not assume HMRC recognition covers this, the two systems are entirely independent and each has its own testing and sign-off process.</w:t>
      </w:r>
    </w:p>
    <w:p>
      <w:pPr>
        <w:pStyle w:val="ListParagraph"/>
        <w:numPr>
          <w:ilvl w:val="0"/>
          <w:numId w:val="3"/>
        </w:numPr>
        <w:spacing w:after="90" w:line="290"/>
      </w:pPr>
      <w:r>
        <w:rPr>
          <w:color w:val="202020"/>
          <w:sz w:val="21"/>
          <w:szCs w:val="21"/>
        </w:rPr>
        <w:t xml:space="preserve">Submission runs over Companies House's XML Gateway using the separate accounts supplement, version 5.7 (2025) was the version confirmed current at the time of writing, treat the exact version number as something to re-check at build time rather than hardcode from this document, Companies House has revised this specification before.</w:t>
      </w:r>
    </w:p>
    <w:p>
      <w:pPr>
        <w:pStyle w:val="ListParagraph"/>
        <w:numPr>
          <w:ilvl w:val="0"/>
          <w:numId w:val="3"/>
        </w:numPr>
        <w:spacing w:after="90" w:line="290"/>
      </w:pPr>
      <w:r>
        <w:rPr>
          <w:color w:val="202020"/>
          <w:sz w:val="21"/>
          <w:szCs w:val="21"/>
        </w:rPr>
        <w:t xml:space="preserve">A vendor must complete Companies House's own testing before applying for a presenter ID, this is a second, sequential approval track outside HMRC's accreditation entirely, do not assume the two can run in parallel on the same timeline without checking.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8A1F2D" w:sz="4"/>
              <w:left w:val="single" w:color="8A1F2D" w:sz="4"/>
              <w:bottom w:val="single" w:color="8A1F2D" w:sz="4"/>
              <w:right w:val="single" w:color="8A1F2D" w:sz="4"/>
            </w:tcBorders>
            <w:shd w:fill="FCEEEE" w:color="auto" w:val="clear"/>
            <w:tcMar>
              <w:top w:type="dxa" w:w="140"/>
              <w:left w:type="dxa" w:w="200"/>
              <w:bottom w:type="dxa" w:w="140"/>
              <w:right w:type="dxa" w:w="200"/>
            </w:tcMar>
          </w:tcPr>
          <w:p>
            <w:pPr>
              <w:spacing w:after="60"/>
            </w:pPr>
            <w:r>
              <w:rPr>
                <w:b/>
                <w:bCs/>
                <w:color w:val="8A1F2D"/>
                <w:sz w:val="20"/>
                <w:szCs w:val="20"/>
              </w:rPr>
              <w:t xml:space="preserve">BUILD RULE 7.2</w:t>
            </w:r>
          </w:p>
          <w:p>
            <w:pPr>
              <w:spacing w:after="0"/>
            </w:pPr>
            <w:r>
              <w:rPr>
                <w:color w:val="202020"/>
                <w:sz w:val="20"/>
                <w:szCs w:val="20"/>
              </w:rPr>
              <w:t xml:space="preserve">Companies House has stated an intention to eventually replace the XML Gateway platform with a REST API. No committed date for that change was confirmed from public sources at the time of writing. Build the Companies House submission client behind an internal adapter interface (something like submitAccountsFiling(payload) rather than code that calls the XML Gateway directly wherever accounts are filed), so that migrating to a future REST API is a contained change inside one module, not a rewrite scattered across the Corporation Tax and Companies House modules that both depend on it (Section 4.5).</w:t>
            </w:r>
          </w:p>
        </w:tc>
      </w:tr>
    </w:tbl>
    <w:p>
      <w:pPr>
        <w:pStyle w:val="Heading2"/>
        <w:spacing w:after="140" w:before="300"/>
      </w:pPr>
      <w:r>
        <w:t xml:space="preserve">7.3 Message integrity: IRmark</w:t>
      </w:r>
    </w:p>
    <w:p>
      <w:pPr>
        <w:spacing w:after="150" w:line="300"/>
      </w:pPr>
      <w:r>
        <w:rPr>
          <w:color w:val="202020"/>
          <w:sz w:val="21"/>
          <w:szCs w:val="21"/>
        </w:rPr>
        <w:t xml:space="preserve">Every XML Gateway submission (CT600, and legacy SA100 if built) must carry an IRmark, a cryptographic digest HMRC uses to confirm the submitted message was not altered in transit. Getting this wrong does not usually cause a visible error, it causes a submission that silently fails integrity checking.</w:t>
      </w:r>
    </w:p>
    <w:p>
      <w:pPr>
        <w:pStyle w:val="ListParagraph"/>
        <w:numPr>
          <w:ilvl w:val="0"/>
          <w:numId w:val="3"/>
        </w:numPr>
        <w:spacing w:after="90" w:line="290"/>
      </w:pPr>
      <w:r>
        <w:rPr>
          <w:color w:val="202020"/>
          <w:sz w:val="21"/>
          <w:szCs w:val="21"/>
        </w:rPr>
        <w:t xml:space="preserve">Method: SHA-1 computed over the canonicalised message body, with any existing IRmark element first removed before hashing (never hash a message that already contains a stale IRmark value from a previous attempt).</w:t>
      </w:r>
    </w:p>
    <w:p>
      <w:pPr>
        <w:pStyle w:val="ListParagraph"/>
        <w:numPr>
          <w:ilvl w:val="0"/>
          <w:numId w:val="3"/>
        </w:numPr>
        <w:spacing w:after="90" w:line="290"/>
      </w:pPr>
      <w:r>
        <w:rPr>
          <w:color w:val="202020"/>
          <w:sz w:val="21"/>
          <w:szCs w:val="21"/>
        </w:rPr>
        <w:t xml:space="preserve">Placement: the IRmark element belongs in the message header, not inserted as the first child of the message body. A sample implementation that places it in the body, omits the required type attribute, or relies on an unmaintained XML-canonicalisation library are all real mistakes seen in example code circulating for this spec, and should not be copied uncritically.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8A1F2D" w:sz="4"/>
              <w:left w:val="single" w:color="8A1F2D" w:sz="4"/>
              <w:bottom w:val="single" w:color="8A1F2D" w:sz="4"/>
              <w:right w:val="single" w:color="8A1F2D" w:sz="4"/>
            </w:tcBorders>
            <w:shd w:fill="FCEEEE" w:color="auto" w:val="clear"/>
            <w:tcMar>
              <w:top w:type="dxa" w:w="140"/>
              <w:left w:type="dxa" w:w="200"/>
              <w:bottom w:type="dxa" w:w="140"/>
              <w:right w:type="dxa" w:w="200"/>
            </w:tcMar>
          </w:tcPr>
          <w:p>
            <w:pPr>
              <w:spacing w:after="60"/>
            </w:pPr>
            <w:r>
              <w:rPr>
                <w:b/>
                <w:bCs/>
                <w:color w:val="8A1F2D"/>
                <w:sz w:val="20"/>
                <w:szCs w:val="20"/>
              </w:rPr>
              <w:t xml:space="preserve">BUILD RULE 7.3</w:t>
            </w:r>
          </w:p>
          <w:p>
            <w:pPr>
              <w:spacing w:after="0"/>
            </w:pPr>
            <w:r>
              <w:rPr>
                <w:color w:val="202020"/>
                <w:sz w:val="20"/>
                <w:szCs w:val="20"/>
              </w:rPr>
              <w:t xml:space="preserve">Build the IRmark routine directly from HMRC's own IRmark specification document and its published test vectors, not from a third party's sample code, however authoritative that sample looks. A correct IRmark proves the message was not corrupted in transit, it does not mean HMRC will accept the filing, these are two independent checks: integrity (IRmark) and business validity (everything in Section 3). Do not let a passing IRmark check be read anywhere in the product as "this will be accepted."</w:t>
            </w:r>
          </w:p>
        </w:tc>
      </w:tr>
    </w:tbl>
    <w:p>
      <w:pPr>
        <w:pStyle w:val="Heading2"/>
        <w:spacing w:after="140" w:before="300"/>
      </w:pPr>
      <w:r>
        <w:t xml:space="preserve">7.4 Submission state machine: how a filing actually moves through the system</w:t>
      </w:r>
    </w:p>
    <w:p>
      <w:pPr>
        <w:spacing w:after="150" w:line="300"/>
      </w:pPr>
      <w:r>
        <w:rPr>
          <w:color w:val="202020"/>
          <w:sz w:val="21"/>
          <w:szCs w:val="21"/>
        </w:rPr>
        <w:t xml:space="preserve">A filing is not a single request/response call. Treat every submission as a durable, resumable process with an explicit state, not as a function call that either succeeds or throws. Two state machines cover this: one for the filing as a whole, and one for each individual job inside it.</w:t>
      </w:r>
    </w:p>
    <w:p>
      <w:pPr>
        <w:pStyle w:val="Heading3"/>
        <w:spacing w:after="100" w:before="200"/>
      </w:pPr>
      <w:r>
        <w:t xml:space="preserve">7.4.1 A filing is one or more jobs, not one job</w:t>
      </w:r>
    </w:p>
    <w:p>
      <w:pPr>
        <w:spacing w:after="150" w:line="300"/>
      </w:pPr>
      <w:r>
        <w:rPr>
          <w:color w:val="202020"/>
          <w:sz w:val="21"/>
          <w:szCs w:val="21"/>
        </w:rPr>
        <w:t xml:space="preserve">A single filing event is 1 + k jobs: one Companies House accounts job, plus one CT600 job for each accounting period the filing covers (k is almost always 1, but becomes 2 when Rule 3.1.5 splits a long first period into two CT600s). These are separate jobs against separate gateways, with no shared fate, one can succeed while the other fails, and the product must be able to represent and explain that state to the user rather than reporting the whole filing as one pass/fail outcome.</w:t>
      </w:r>
    </w:p>
    <w:p>
      <w:pPr>
        <w:spacing w:after="60" w:before="120"/>
        <w:jc w:val="center"/>
      </w:pPr>
      <w:r>
        <w:drawing>
          <wp:inline distT="0" distB="0" distL="0" distR="0">
            <wp:extent cx="3619500" cy="5162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619500" cy="5162550"/>
                    </a:xfrm>
                    <a:prstGeom prst="rect">
                      <a:avLst/>
                    </a:prstGeom>
                  </pic:spPr>
                </pic:pic>
              </a:graphicData>
            </a:graphic>
          </wp:inline>
        </w:drawing>
      </w:r>
    </w:p>
    <w:p>
      <w:pPr>
        <w:spacing w:after="220" w:before="60"/>
      </w:pPr>
      <w:r>
        <w:rPr>
          <w:i/>
          <w:iCs/>
          <w:color w:val="595959"/>
          <w:sz w:val="17"/>
          <w:szCs w:val="17"/>
        </w:rPr>
        <w:t xml:space="preserve">The filing-level orchestrator. Note PartiallyComplete is a first-class state, not an error, it is the expected state whenever some of the 1+k jobs have closed and others have not yet.</w:t>
      </w:r>
    </w:p>
    <w:p>
      <w:pPr>
        <w:pStyle w:val="Heading3"/>
        <w:spacing w:after="100" w:before="200"/>
      </w:pPr>
      <w:r>
        <w:t xml:space="preserve">7.4.2 Per-job state machine, used for the Companies House job and each CT600 job</w:t>
      </w:r>
    </w:p>
    <w:p>
      <w:pPr>
        <w:spacing w:after="150" w:line="300"/>
      </w:pPr>
      <w:r>
        <w:rPr>
          <w:color w:val="202020"/>
          <w:sz w:val="21"/>
          <w:szCs w:val="21"/>
        </w:rPr>
        <w:t xml:space="preserve">Apply the same state machine to every individual job, whichever gateway it targets. The important design decision here is the Unknown state: a network timeout or transport error during submission does NOT mean the filing failed, it means the outcome is not yet known, and the correct response is to query status, not to resubmit blindly (which risks a duplicate filing, see the idempotency-key rule in Section 9).</w:t>
      </w:r>
    </w:p>
    <w:p>
      <w:pPr>
        <w:spacing w:after="60" w:before="120"/>
        <w:jc w:val="center"/>
      </w:pPr>
      <w:r>
        <w:drawing>
          <wp:inline distT="0" distB="0" distL="0" distR="0">
            <wp:extent cx="5715000" cy="401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4019550"/>
                    </a:xfrm>
                    <a:prstGeom prst="rect">
                      <a:avLst/>
                    </a:prstGeom>
                  </pic:spPr>
                </pic:pic>
              </a:graphicData>
            </a:graphic>
          </wp:inline>
        </w:drawing>
      </w:r>
    </w:p>
    <w:p>
      <w:pPr>
        <w:spacing w:after="220" w:before="60"/>
      </w:pPr>
      <w:r>
        <w:rPr>
          <w:i/>
          <w:iCs/>
          <w:color w:val="595959"/>
          <w:sz w:val="17"/>
          <w:szCs w:val="17"/>
        </w:rPr>
        <w:t xml:space="preserve">Record the idempotency key and payload hash before the network call is made (the Queued to Submitted transition), so that a crash between sending and recording cannot produce an untracked duplicate. This directly implements the idempotency-key requirement already listed in Section 9.</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8A1F2D" w:sz="4"/>
              <w:left w:val="single" w:color="8A1F2D" w:sz="4"/>
              <w:bottom w:val="single" w:color="8A1F2D" w:sz="4"/>
              <w:right w:val="single" w:color="8A1F2D" w:sz="4"/>
            </w:tcBorders>
            <w:shd w:fill="FCEEEE" w:color="auto" w:val="clear"/>
            <w:tcMar>
              <w:top w:type="dxa" w:w="140"/>
              <w:left w:type="dxa" w:w="200"/>
              <w:bottom w:type="dxa" w:w="140"/>
              <w:right w:type="dxa" w:w="200"/>
            </w:tcMar>
          </w:tcPr>
          <w:p>
            <w:pPr>
              <w:spacing w:after="60"/>
            </w:pPr>
            <w:r>
              <w:rPr>
                <w:b/>
                <w:bCs/>
                <w:color w:val="8A1F2D"/>
                <w:sz w:val="20"/>
                <w:szCs w:val="20"/>
              </w:rPr>
              <w:t xml:space="preserve">BUILD RULE 7.4</w:t>
            </w:r>
          </w:p>
          <w:p>
            <w:pPr>
              <w:spacing w:after="0"/>
            </w:pPr>
            <w:r>
              <w:rPr>
                <w:color w:val="202020"/>
                <w:sz w:val="20"/>
                <w:szCs w:val="20"/>
              </w:rPr>
              <w:t xml:space="preserve">Treat Unknown as a real, storable state in the job's database row, not as a caught exception that gets silently retried. On a timeout, the correct next action is a status query against the gateway, which resolves the job to either Acknowledged (it was received) or Queued (it was not, safe to resubmit with a fresh idempotency key). This single design decision is what makes the dry-run mode and duplicate-submission protections in Section 9 actually safe to rely on under real network conditions, not just in the happy path.</w:t>
            </w:r>
          </w:p>
        </w:tc>
      </w:tr>
    </w:tbl>
    <w:p>
      <w:pPr>
        <w:pStyle w:val="Heading2"/>
        <w:spacing w:after="140" w:before="300"/>
      </w:pPr>
      <w:r>
        <w:t xml:space="preserve">7.5 iXBRL tagging engine: build vs buy</w:t>
      </w:r>
    </w:p>
    <w:p>
      <w:pPr>
        <w:spacing w:after="150" w:line="300"/>
      </w:pPr>
      <w:r>
        <w:rPr>
          <w:color w:val="202020"/>
          <w:sz w:val="21"/>
          <w:szCs w:val="21"/>
        </w:rPr>
        <w:t xml:space="preserve">No vendor currently offers an off-the-shelf API or SDK a small software company can simply license and embed for iXBRL generation. The commercial iXBRL specialists in this space (for example CoreFiling, ARKK, DataTracks) are structured as managed tagging services or standalone end-user tools, not developer-integrable components. Open-source options exist but are described by their own maintainers as complex to configure and provided without warranty.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8A1F2D" w:sz="4"/>
              <w:left w:val="single" w:color="8A1F2D" w:sz="4"/>
              <w:bottom w:val="single" w:color="8A1F2D" w:sz="4"/>
              <w:right w:val="single" w:color="8A1F2D" w:sz="4"/>
            </w:tcBorders>
            <w:shd w:fill="FCEEEE" w:color="auto" w:val="clear"/>
            <w:tcMar>
              <w:top w:type="dxa" w:w="140"/>
              <w:left w:type="dxa" w:w="200"/>
              <w:bottom w:type="dxa" w:w="140"/>
              <w:right w:type="dxa" w:w="200"/>
            </w:tcMar>
          </w:tcPr>
          <w:p>
            <w:pPr>
              <w:spacing w:after="60"/>
            </w:pPr>
            <w:r>
              <w:rPr>
                <w:b/>
                <w:bCs/>
                <w:color w:val="8A1F2D"/>
                <w:sz w:val="20"/>
                <w:szCs w:val="20"/>
              </w:rPr>
              <w:t xml:space="preserve">BUILD RULE 7.5</w:t>
            </w:r>
          </w:p>
          <w:p>
            <w:pPr>
              <w:spacing w:after="0"/>
            </w:pPr>
            <w:r>
              <w:rPr>
                <w:color w:val="202020"/>
                <w:sz w:val="20"/>
                <w:szCs w:val="20"/>
              </w:rPr>
              <w:t xml:space="preserve">Plan to build the iXBRL tagging engine in-house: implement the FRC UK GAAP taxonomy mapping for FRS 105 (micro-entity) and FRS 102 Section 1A (small company), tagging accounts data against the published taxonomy. This is the single hardest and highest-risk technical component in the entire platform, allocate senior engineering time to it specifically, and commission the professional tagging-rules review flagged in Rule 3.6.5 before writing this engine, not after.</w:t>
            </w:r>
          </w:p>
        </w:tc>
      </w:tr>
    </w:tbl>
    <w:p>
      <w:pPr>
        <w:pStyle w:val="Heading2"/>
        <w:spacing w:after="140" w:before="300"/>
      </w:pPr>
      <w:r>
        <w:t xml:space="preserve">7.6 Payment processing</w:t>
      </w:r>
    </w:p>
    <w:p>
      <w:pPr>
        <w:spacing w:after="150" w:line="300"/>
      </w:pPr>
      <w:r>
        <w:rPr>
          <w:color w:val="202020"/>
          <w:sz w:val="21"/>
          <w:szCs w:val="21"/>
        </w:rPr>
        <w:t xml:space="preserve">Stripe or GoCardless rather than handling card data directly, this offloads PCI-DSS compliance to the processor (Section 5.3). UK card fees are commonly 1.5% plus 20p per domestic transaction, relevant to unit-economics modelling but not a build blocker.</w:t>
      </w:r>
    </w:p>
    <w:p>
      <w:pPr>
        <w:pStyle w:val="Heading2"/>
        <w:spacing w:after="140" w:before="300"/>
      </w:pPr>
      <w:r>
        <w:t xml:space="preserve">7.7 Technology stack, proposals to confirm with the engineering lead</w:t>
      </w:r>
    </w:p>
    <w:p>
      <w:pPr>
        <w:spacing w:after="150" w:line="300"/>
      </w:pPr>
      <w:r>
        <w:rPr>
          <w:color w:val="202020"/>
          <w:sz w:val="21"/>
          <w:szCs w:val="21"/>
        </w:rPr>
        <w:t xml:space="preserve">These are starting proposals, not fixed decisions, included so the team has a concrete default to accept or reject rather than starting from a blank page.</w:t>
      </w:r>
    </w:p>
    <w:p>
      <w:pPr>
        <w:pStyle w:val="ListParagraph"/>
        <w:numPr>
          <w:ilvl w:val="0"/>
          <w:numId w:val="3"/>
        </w:numPr>
        <w:spacing w:after="90" w:line="290"/>
      </w:pPr>
      <w:r>
        <w:rPr>
          <w:color w:val="202020"/>
          <w:sz w:val="21"/>
          <w:szCs w:val="21"/>
        </w:rPr>
        <w:t xml:space="preserve">TypeScript on Node for the tax engine and both gateway clients (XML/Government Gateway and REST/OAuth2), one language across the hardest-to-get-right parts of the system.</w:t>
      </w:r>
    </w:p>
    <w:p>
      <w:pPr>
        <w:pStyle w:val="ListParagraph"/>
        <w:numPr>
          <w:ilvl w:val="0"/>
          <w:numId w:val="3"/>
        </w:numPr>
        <w:spacing w:after="90" w:line="290"/>
      </w:pPr>
      <w:r>
        <w:rPr>
          <w:color w:val="202020"/>
          <w:sz w:val="21"/>
          <w:szCs w:val="21"/>
        </w:rPr>
        <w:t xml:space="preserve">The tax engines themselves (Section 12: Corporation Tax, VAT, Income Tax and NIC) built as pure, dependency-light modules, no I/O, no framework coupling, specifically so each can be exhaustively unit-tested and reviewed line by line by a qualified accountant without needing to understand the rest of the application.</w:t>
      </w:r>
    </w:p>
    <w:p>
      <w:pPr>
        <w:pStyle w:val="ListParagraph"/>
        <w:numPr>
          <w:ilvl w:val="0"/>
          <w:numId w:val="3"/>
        </w:numPr>
        <w:spacing w:after="90" w:line="290"/>
      </w:pPr>
      <w:r>
        <w:rPr>
          <w:color w:val="202020"/>
          <w:sz w:val="21"/>
          <w:szCs w:val="21"/>
        </w:rPr>
        <w:t xml:space="preserve">Next.js for the frontend, PostgreSQL for storage, a durable job queue (for example BullMQ) to run the state machines in Section 7.4 reliably across process restarts, AWS London region for UK data residency, infrastructure defined as code rather than configured by hand.</w:t>
      </w:r>
    </w:p>
    <w:p>
      <w:pPr>
        <w:pStyle w:val="Heading1"/>
        <w:spacing w:after="200" w:before="420"/>
      </w:pPr>
      <w:r>
        <w:t xml:space="preserve">8. Recommended Build Phasing</w:t>
      </w:r>
    </w:p>
    <w:p>
      <w:pPr>
        <w:spacing w:after="150" w:line="300"/>
      </w:pPr>
      <w:r>
        <w:rPr>
          <w:color w:val="202020"/>
          <w:sz w:val="21"/>
          <w:szCs w:val="21"/>
        </w:rPr>
        <w:t xml:space="preserve">This is a sequencing recommendation, not a rule, the founder may reorder it based on commercial priorities. It is built on the technical-difficulty findings in Section 4.0 and Section 7.</w:t>
      </w:r>
    </w:p>
    <w:p>
      <w:pPr>
        <w:pStyle w:val="Heading3"/>
        <w:spacing w:after="100" w:before="200"/>
      </w:pPr>
      <w:r>
        <w:t xml:space="preserve">Phase 1, MVP</w:t>
      </w:r>
    </w:p>
    <w:p>
      <w:pPr>
        <w:pStyle w:val="ListParagraph"/>
        <w:numPr>
          <w:ilvl w:val="0"/>
          <w:numId w:val="3"/>
        </w:numPr>
        <w:spacing w:after="90" w:line="290"/>
      </w:pPr>
      <w:r>
        <w:rPr>
          <w:color w:val="202020"/>
          <w:sz w:val="21"/>
          <w:szCs w:val="21"/>
        </w:rPr>
        <w:t xml:space="preserve">Corporation Tax (CT600) module, self-filer model only (Rule 3.8), for micro-entity companies only (simplest accounts framework, Rule 3.1.8a).</w:t>
      </w:r>
    </w:p>
    <w:p>
      <w:pPr>
        <w:pStyle w:val="ListParagraph"/>
        <w:numPr>
          <w:ilvl w:val="0"/>
          <w:numId w:val="3"/>
        </w:numPr>
        <w:spacing w:after="90" w:line="290"/>
      </w:pPr>
      <w:r>
        <w:rPr>
          <w:color w:val="202020"/>
          <w:sz w:val="21"/>
          <w:szCs w:val="21"/>
        </w:rPr>
        <w:t xml:space="preserve">Companies House accounts filing running alongside it (Section 4.5), since both use the same underlying accounts data.</w:t>
      </w:r>
    </w:p>
    <w:p>
      <w:pPr>
        <w:pStyle w:val="ListParagraph"/>
        <w:numPr>
          <w:ilvl w:val="0"/>
          <w:numId w:val="3"/>
        </w:numPr>
        <w:spacing w:after="90" w:line="290"/>
      </w:pPr>
      <w:r>
        <w:rPr>
          <w:color w:val="202020"/>
          <w:sz w:val="21"/>
          <w:szCs w:val="21"/>
        </w:rPr>
        <w:t xml:space="preserve">iXBRL tagging engine for FRS 105 only (micro-entity), deferring FRS 102/small-company support.</w:t>
      </w:r>
    </w:p>
    <w:p>
      <w:pPr>
        <w:pStyle w:val="ListParagraph"/>
        <w:numPr>
          <w:ilvl w:val="0"/>
          <w:numId w:val="3"/>
        </w:numPr>
        <w:spacing w:after="90" w:line="290"/>
      </w:pPr>
      <w:r>
        <w:rPr>
          <w:color w:val="202020"/>
          <w:sz w:val="21"/>
          <w:szCs w:val="21"/>
        </w:rPr>
        <w:t xml:space="preserve">Xero integration only (Section 4.8), deferring QuickBooks, Sage and FreeAgent.</w:t>
      </w:r>
    </w:p>
    <w:p>
      <w:pPr>
        <w:pStyle w:val="ListParagraph"/>
        <w:numPr>
          <w:ilvl w:val="0"/>
          <w:numId w:val="3"/>
        </w:numPr>
        <w:spacing w:after="90" w:line="290"/>
      </w:pPr>
      <w:r>
        <w:rPr>
          <w:color w:val="202020"/>
          <w:sz w:val="21"/>
          <w:szCs w:val="21"/>
        </w:rPr>
        <w:t xml:space="preserve">No accountant/practice mode (Section 4.7), single-entity accounts only.</w:t>
      </w:r>
    </w:p>
    <w:p>
      <w:pPr>
        <w:pStyle w:val="Heading3"/>
        <w:spacing w:after="100" w:before="200"/>
      </w:pPr>
      <w:r>
        <w:t xml:space="preserve">Phase 2</w:t>
      </w:r>
    </w:p>
    <w:p>
      <w:pPr>
        <w:pStyle w:val="ListParagraph"/>
        <w:numPr>
          <w:ilvl w:val="0"/>
          <w:numId w:val="3"/>
        </w:numPr>
        <w:spacing w:after="90" w:line="290"/>
      </w:pPr>
      <w:r>
        <w:rPr>
          <w:color w:val="202020"/>
          <w:sz w:val="21"/>
          <w:szCs w:val="21"/>
        </w:rPr>
        <w:t xml:space="preserve">MTD VAT module (Section 4.3), the technically easier of the remaining filing types given its modern REST API.</w:t>
      </w:r>
    </w:p>
    <w:p>
      <w:pPr>
        <w:pStyle w:val="ListParagraph"/>
        <w:numPr>
          <w:ilvl w:val="0"/>
          <w:numId w:val="3"/>
        </w:numPr>
        <w:spacing w:after="90" w:line="290"/>
      </w:pPr>
      <w:r>
        <w:rPr>
          <w:color w:val="202020"/>
          <w:sz w:val="21"/>
          <w:szCs w:val="21"/>
        </w:rPr>
        <w:t xml:space="preserve">QuickBooks and Sage integrations added (Section 4.8).</w:t>
      </w:r>
    </w:p>
    <w:p>
      <w:pPr>
        <w:pStyle w:val="ListParagraph"/>
        <w:numPr>
          <w:ilvl w:val="0"/>
          <w:numId w:val="3"/>
        </w:numPr>
        <w:spacing w:after="90" w:line="290"/>
      </w:pPr>
      <w:r>
        <w:rPr>
          <w:color w:val="202020"/>
          <w:sz w:val="21"/>
          <w:szCs w:val="21"/>
        </w:rPr>
        <w:t xml:space="preserve">FRS 102/small-company accounts support added.</w:t>
      </w:r>
    </w:p>
    <w:p>
      <w:pPr>
        <w:pStyle w:val="Heading3"/>
        <w:spacing w:after="100" w:before="200"/>
      </w:pPr>
      <w:r>
        <w:t xml:space="preserve">Phase 3</w:t>
      </w:r>
    </w:p>
    <w:p>
      <w:pPr>
        <w:pStyle w:val="ListParagraph"/>
        <w:numPr>
          <w:ilvl w:val="0"/>
          <w:numId w:val="3"/>
        </w:numPr>
        <w:spacing w:after="90" w:line="290"/>
      </w:pPr>
      <w:r>
        <w:rPr>
          <w:color w:val="202020"/>
          <w:sz w:val="21"/>
          <w:szCs w:val="21"/>
        </w:rPr>
        <w:t xml:space="preserve">MTD ITSA module (Section 4.4.3), timed to be genuinely ready well before the relevant mandation date for whichever income threshold the target user segment falls into (Section 3.5.1).</w:t>
      </w:r>
    </w:p>
    <w:p>
      <w:pPr>
        <w:pStyle w:val="ListParagraph"/>
        <w:numPr>
          <w:ilvl w:val="0"/>
          <w:numId w:val="3"/>
        </w:numPr>
        <w:spacing w:after="90" w:line="290"/>
      </w:pPr>
      <w:r>
        <w:rPr>
          <w:color w:val="202020"/>
          <w:sz w:val="21"/>
          <w:szCs w:val="21"/>
        </w:rPr>
        <w:t xml:space="preserve">FreeAgent integration added (Section 4.8).</w:t>
      </w:r>
    </w:p>
    <w:p>
      <w:pPr>
        <w:pStyle w:val="ListParagraph"/>
        <w:numPr>
          <w:ilvl w:val="0"/>
          <w:numId w:val="3"/>
        </w:numPr>
        <w:spacing w:after="90" w:line="290"/>
      </w:pPr>
      <w:r>
        <w:rPr>
          <w:color w:val="202020"/>
          <w:sz w:val="21"/>
          <w:szCs w:val="21"/>
        </w:rPr>
        <w:t xml:space="preserve">Accountant/practice mode (Section 4.7), with the AML model decision (Rule 4.7) made explicitly before this phase starts, not during it.</w:t>
      </w:r>
    </w:p>
    <w:p>
      <w:pPr>
        <w:pStyle w:val="Heading3"/>
        <w:spacing w:after="100" w:before="200"/>
      </w:pPr>
      <w:r>
        <w:t xml:space="preserve">Phase 4</w:t>
      </w:r>
    </w:p>
    <w:p>
      <w:pPr>
        <w:pStyle w:val="ListParagraph"/>
        <w:numPr>
          <w:ilvl w:val="0"/>
          <w:numId w:val="3"/>
        </w:numPr>
        <w:spacing w:after="90" w:line="290"/>
      </w:pPr>
      <w:r>
        <w:rPr>
          <w:color w:val="202020"/>
          <w:sz w:val="21"/>
          <w:szCs w:val="21"/>
        </w:rPr>
        <w:t xml:space="preserve">Flat Rate Scheme VAT support (Rule 3.3.5).</w:t>
      </w:r>
    </w:p>
    <w:p>
      <w:pPr>
        <w:pStyle w:val="ListParagraph"/>
        <w:numPr>
          <w:ilvl w:val="0"/>
          <w:numId w:val="3"/>
        </w:numPr>
        <w:spacing w:after="90" w:line="290"/>
      </w:pPr>
      <w:r>
        <w:rPr>
          <w:color w:val="202020"/>
          <w:sz w:val="21"/>
          <w:szCs w:val="21"/>
        </w:rPr>
        <w:t xml:space="preserve">Profit and loss account filing ahead of the 1 April 2028 Companies House deadline (Rule 3.1.8b), this is a hard external deadline, not a discretionary phase, schedule backward from it rather than treating it as indefinitely deferrable.</w:t>
      </w:r>
    </w:p>
    <w:p>
      <w:pPr>
        <w:pStyle w:val="Heading1"/>
        <w:spacing w:after="200" w:before="420"/>
      </w:pPr>
      <w:r>
        <w:t xml:space="preserve">9. Error Handling and Edge Cases</w:t>
      </w:r>
    </w:p>
    <w:p>
      <w:pPr>
        <w:pStyle w:val="ListParagraph"/>
        <w:numPr>
          <w:ilvl w:val="0"/>
          <w:numId w:val="3"/>
        </w:numPr>
        <w:spacing w:after="90" w:line="290"/>
      </w:pPr>
      <w:r>
        <w:rPr>
          <w:color w:val="202020"/>
          <w:sz w:val="21"/>
          <w:szCs w:val="21"/>
        </w:rPr>
        <w:t xml:space="preserve">HMRC or Companies House API rejection: the platform must surface the actual rejection reason returned by the API to the user in plain language, not a generic "submission failed" message, since a rejected tax filing has a legal deadline attached and the user needs to act on it immediately.</w:t>
      </w:r>
    </w:p>
    <w:p>
      <w:pPr>
        <w:pStyle w:val="ListParagraph"/>
        <w:numPr>
          <w:ilvl w:val="0"/>
          <w:numId w:val="3"/>
        </w:numPr>
        <w:spacing w:after="90" w:line="290"/>
      </w:pPr>
      <w:r>
        <w:rPr>
          <w:color w:val="202020"/>
          <w:sz w:val="21"/>
          <w:szCs w:val="21"/>
        </w:rPr>
        <w:t xml:space="preserve">Partial submission failure: if CT600 and accounts are meant to submit together (Rule 3.1.8) but one succeeds and the other fails, the platform must not present this as a successful filing, and must clearly show the user exactly what did and did not reach HMRC.</w:t>
      </w:r>
    </w:p>
    <w:p>
      <w:pPr>
        <w:pStyle w:val="ListParagraph"/>
        <w:numPr>
          <w:ilvl w:val="0"/>
          <w:numId w:val="3"/>
        </w:numPr>
        <w:spacing w:after="90" w:line="290"/>
      </w:pPr>
      <w:r>
        <w:rPr>
          <w:color w:val="202020"/>
          <w:sz w:val="21"/>
          <w:szCs w:val="21"/>
        </w:rPr>
        <w:t xml:space="preserve">Accounting period longer than 12 months: automatically triggers the two-filing split in Rule 3.1.5, this must be handled without requiring the user to understand why they are filing twice.</w:t>
      </w:r>
    </w:p>
    <w:p>
      <w:pPr>
        <w:pStyle w:val="ListParagraph"/>
        <w:numPr>
          <w:ilvl w:val="0"/>
          <w:numId w:val="3"/>
        </w:numPr>
        <w:spacing w:after="90" w:line="290"/>
      </w:pPr>
      <w:r>
        <w:rPr>
          <w:color w:val="202020"/>
          <w:sz w:val="21"/>
          <w:szCs w:val="21"/>
        </w:rPr>
        <w:t xml:space="preserve">Mandation status changes year to year: a user's MTD ITSA obligation (Rule 3.5.1) can change annually based on the prior year's income, the platform must re-evaluate this every year, not just at signup, and clearly notify the user when their filing obligations change.</w:t>
      </w:r>
    </w:p>
    <w:p>
      <w:pPr>
        <w:pStyle w:val="ListParagraph"/>
        <w:numPr>
          <w:ilvl w:val="0"/>
          <w:numId w:val="3"/>
        </w:numPr>
        <w:spacing w:after="90" w:line="290"/>
      </w:pPr>
      <w:r>
        <w:rPr>
          <w:color w:val="202020"/>
          <w:sz w:val="21"/>
          <w:szCs w:val="21"/>
        </w:rPr>
        <w:t xml:space="preserve">Associated companies edge cases: genuinely ambiguous ownership/control structures (Rule 3.1.4) should route to a manual review flag rather than a silent automatic determination, an incorrect associated-companies count changes the tax calculation.</w:t>
      </w:r>
    </w:p>
    <w:p>
      <w:pPr>
        <w:pStyle w:val="ListParagraph"/>
        <w:numPr>
          <w:ilvl w:val="0"/>
          <w:numId w:val="3"/>
        </w:numPr>
        <w:spacing w:after="90" w:line="290"/>
      </w:pPr>
      <w:r>
        <w:rPr>
          <w:color w:val="202020"/>
          <w:sz w:val="21"/>
          <w:szCs w:val="21"/>
        </w:rPr>
        <w:t xml:space="preserve">Digital link violations: if a user attempts to manually type a figure into a field that should only accept an imported/API-sourced value (Rule 3.3.3), the platform should distinguish this from legitimate first-time manual entry of a genuinely new transaction, this is a UX design problem as much as a technical one.</w:t>
      </w:r>
    </w:p>
    <w:p>
      <w:pPr>
        <w:pStyle w:val="ListParagraph"/>
        <w:numPr>
          <w:ilvl w:val="0"/>
          <w:numId w:val="3"/>
        </w:numPr>
        <w:spacing w:after="90" w:line="290"/>
      </w:pPr>
      <w:r>
        <w:rPr>
          <w:color w:val="202020"/>
          <w:sz w:val="21"/>
          <w:szCs w:val="21"/>
        </w:rPr>
        <w:t xml:space="preserve">Expired or revoked HMRC authorisation: OAuth2 tokens and Government Gateway sessions can expire or be revoked by the user independently of the platform, build a clear re-authorisation flow rather than a silent submission failure when this happens close to a deadline.</w:t>
      </w:r>
    </w:p>
    <w:p>
      <w:pPr>
        <w:pStyle w:val="ListParagraph"/>
        <w:numPr>
          <w:ilvl w:val="0"/>
          <w:numId w:val="3"/>
        </w:numPr>
        <w:spacing w:after="90" w:line="290"/>
      </w:pPr>
      <w:r>
        <w:rPr>
          <w:color w:val="202020"/>
          <w:sz w:val="21"/>
          <w:szCs w:val="21"/>
        </w:rPr>
        <w:t xml:space="preserve">Balance sheet does not balance: block submission on failure of the Rule 3.0.2b reconciliation check (net assets vs. capital and reserves, £1 tolerance) and show the user a plain-English message, never file a mismatched balance sheet to Companies House.</w:t>
      </w:r>
    </w:p>
    <w:p>
      <w:pPr>
        <w:pStyle w:val="ListParagraph"/>
        <w:numPr>
          <w:ilvl w:val="0"/>
          <w:numId w:val="3"/>
        </w:numPr>
        <w:spacing w:after="90" w:line="290"/>
      </w:pPr>
      <w:r>
        <w:rPr>
          <w:color w:val="202020"/>
          <w:sz w:val="21"/>
          <w:szCs w:val="21"/>
        </w:rPr>
        <w:t xml:space="preserve">Duplicate submission on retry: require an idempotency key on every submission-creating request (CT600, accounts, VAT return), matching TinyTax's own published API pattern, so a network retry or a user double-clicking "submit" cannot create two filings or trigger a double charge. The per-job state machine in Section 7.4.2 is what makes this enforceable under real network conditions: the key and payload hash are recorded before the network call is made, and a timeout resolves to the Unknown state (query status) rather than an automatic blind resubmit.</w:t>
      </w:r>
    </w:p>
    <w:p>
      <w:pPr>
        <w:pStyle w:val="ListParagraph"/>
        <w:numPr>
          <w:ilvl w:val="0"/>
          <w:numId w:val="3"/>
        </w:numPr>
        <w:spacing w:after="90" w:line="290"/>
      </w:pPr>
      <w:r>
        <w:rPr>
          <w:color w:val="202020"/>
          <w:sz w:val="21"/>
          <w:szCs w:val="21"/>
        </w:rPr>
        <w:t xml:space="preserve">User wants to check their result before committing: offer a dry-run/validate mode that runs the full calculation (Sections 3.0-3.5) and returns the result without submitting to HMRC or Companies House and without billing the user, again matching the pattern TinyTax exposes on its own API.</w:t>
      </w:r>
    </w:p>
    <w:p>
      <w:pPr>
        <w:pStyle w:val="Heading1"/>
        <w:spacing w:after="200" w:before="420"/>
      </w:pPr>
      <w:r>
        <w:t xml:space="preserve">10. Acceptance Criteria</w:t>
      </w:r>
    </w:p>
    <w:p>
      <w:pPr>
        <w:spacing w:after="150" w:line="300"/>
      </w:pPr>
      <w:r>
        <w:rPr>
          <w:color w:val="202020"/>
          <w:sz w:val="21"/>
          <w:szCs w:val="21"/>
        </w:rPr>
        <w:t xml:space="preserve">A module is not considered complete until it passes all of the following, in addition to any feature-specific tests:</w:t>
      </w:r>
    </w:p>
    <w:p>
      <w:pPr>
        <w:pStyle w:val="ListParagraph"/>
        <w:numPr>
          <w:ilvl w:val="0"/>
          <w:numId w:val="2"/>
        </w:numPr>
        <w:spacing w:after="110" w:line="290"/>
      </w:pPr>
      <w:r>
        <w:rPr>
          <w:b/>
          <w:bCs/>
          <w:color w:val="202020"/>
          <w:sz w:val="21"/>
          <w:szCs w:val="21"/>
        </w:rPr>
        <w:t xml:space="preserve">Passes the Rule 3.1.3 regression test.</w:t>
      </w:r>
    </w:p>
    <w:p>
      <w:pPr>
        <w:spacing w:after="150" w:line="300"/>
      </w:pPr>
      <w:r>
        <w:rPr>
          <w:color w:val="202020"/>
          <w:sz w:val="21"/>
          <w:szCs w:val="21"/>
        </w:rPr>
        <w:t xml:space="preserve">The £100,000 profit worked example must produce exactly £22,750 Corporation Tax payable, unchanged by any refactor.</w:t>
      </w:r>
    </w:p>
    <w:p>
      <w:pPr>
        <w:pStyle w:val="ListParagraph"/>
        <w:numPr>
          <w:ilvl w:val="0"/>
          <w:numId w:val="2"/>
        </w:numPr>
        <w:spacing w:after="110" w:line="290"/>
      </w:pPr>
      <w:r>
        <w:rPr>
          <w:b/>
          <w:bCs/>
          <w:color w:val="202020"/>
          <w:sz w:val="21"/>
          <w:szCs w:val="21"/>
        </w:rPr>
        <w:t xml:space="preserve">Successfully files in HMRC's and Companies House's sandbox environments.</w:t>
      </w:r>
    </w:p>
    <w:p>
      <w:pPr>
        <w:spacing w:after="150" w:line="300"/>
      </w:pPr>
      <w:r>
        <w:rPr>
          <w:color w:val="202020"/>
          <w:sz w:val="21"/>
          <w:szCs w:val="21"/>
        </w:rPr>
        <w:t xml:space="preserve">Before any production credentials are requested (Section 7.1), before requesting live accreditation.</w:t>
      </w:r>
    </w:p>
    <w:p>
      <w:pPr>
        <w:pStyle w:val="ListParagraph"/>
        <w:numPr>
          <w:ilvl w:val="0"/>
          <w:numId w:val="2"/>
        </w:numPr>
        <w:spacing w:after="110" w:line="290"/>
      </w:pPr>
      <w:r>
        <w:rPr>
          <w:b/>
          <w:bCs/>
          <w:color w:val="202020"/>
          <w:sz w:val="21"/>
          <w:szCs w:val="21"/>
        </w:rPr>
        <w:t xml:space="preserve">Passes HMRC's and Companies House's own accreditation testing.</w:t>
      </w:r>
    </w:p>
    <w:p>
      <w:pPr>
        <w:spacing w:after="150" w:line="300"/>
      </w:pPr>
      <w:r>
        <w:rPr>
          <w:color w:val="202020"/>
          <w:sz w:val="21"/>
          <w:szCs w:val="21"/>
        </w:rPr>
        <w:t xml:space="preserve">Achieves production recognition and appears on the relevant published supplier list (Section 7.1, 7.2), this is the actual external gate, not an internal sign-off.</w:t>
      </w:r>
    </w:p>
    <w:p>
      <w:pPr>
        <w:pStyle w:val="ListParagraph"/>
        <w:numPr>
          <w:ilvl w:val="0"/>
          <w:numId w:val="2"/>
        </w:numPr>
        <w:spacing w:after="110" w:line="290"/>
      </w:pPr>
      <w:r>
        <w:rPr>
          <w:b/>
          <w:bCs/>
          <w:color w:val="202020"/>
          <w:sz w:val="21"/>
          <w:szCs w:val="21"/>
        </w:rPr>
        <w:t xml:space="preserve">Enforces every BUILD RULE in Section 3 relevant to that module.</w:t>
      </w:r>
    </w:p>
    <w:p>
      <w:pPr>
        <w:spacing w:after="150" w:line="300"/>
      </w:pPr>
      <w:r>
        <w:rPr>
          <w:color w:val="202020"/>
          <w:sz w:val="21"/>
          <w:szCs w:val="21"/>
        </w:rPr>
        <w:t xml:space="preserve">Each rule box in Section 3 should map to at least one automated test, not just a manual QA checklist item.</w:t>
      </w:r>
    </w:p>
    <w:p>
      <w:pPr>
        <w:pStyle w:val="ListParagraph"/>
        <w:numPr>
          <w:ilvl w:val="0"/>
          <w:numId w:val="2"/>
        </w:numPr>
        <w:spacing w:after="110" w:line="290"/>
      </w:pPr>
      <w:r>
        <w:rPr>
          <w:b/>
          <w:bCs/>
          <w:color w:val="202020"/>
          <w:sz w:val="21"/>
          <w:szCs w:val="21"/>
        </w:rPr>
        <w:t xml:space="preserve">Signed off by a qualified accountant on a sample of real calculations.</w:t>
      </w:r>
    </w:p>
    <w:p>
      <w:pPr>
        <w:spacing w:after="150" w:line="300"/>
      </w:pPr>
      <w:r>
        <w:rPr>
          <w:color w:val="202020"/>
          <w:sz w:val="21"/>
          <w:szCs w:val="21"/>
        </w:rPr>
        <w:t xml:space="preserve">Before this module is offered to real users, a professional should independently verify a sample of the platform's calculations against manually-computed figures, not just against the worked examples in this document.</w:t>
      </w:r>
    </w:p>
    <w:p>
      <w:pPr>
        <w:pStyle w:val="Heading1"/>
        <w:spacing w:after="200" w:before="420"/>
      </w:pPr>
      <w:r>
        <w:t xml:space="preserve">11. Risks Specific to This Build</w:t>
      </w:r>
    </w:p>
    <w:p>
      <w:pPr>
        <w:pStyle w:val="ListParagraph"/>
        <w:numPr>
          <w:ilvl w:val="0"/>
          <w:numId w:val="3"/>
        </w:numPr>
        <w:spacing w:after="90" w:line="290"/>
      </w:pPr>
      <w:r>
        <w:rPr>
          <w:color w:val="202020"/>
          <w:sz w:val="21"/>
          <w:szCs w:val="21"/>
        </w:rPr>
        <w:t xml:space="preserve">Tax software error liability is different from advisory error liability: a filing error in the software carries direct exposure since there is no human professional judgement to point to, only whether the software correctly implemented the rules in Section 3. This raises the bar on testing and the professional-review steps in Section 10 above the level typical for general SaaS products.</w:t>
      </w:r>
    </w:p>
    <w:p>
      <w:pPr>
        <w:pStyle w:val="ListParagraph"/>
        <w:numPr>
          <w:ilvl w:val="0"/>
          <w:numId w:val="3"/>
        </w:numPr>
        <w:spacing w:after="90" w:line="290"/>
      </w:pPr>
      <w:r>
        <w:rPr>
          <w:color w:val="202020"/>
          <w:sz w:val="21"/>
          <w:szCs w:val="21"/>
        </w:rPr>
        <w:t xml:space="preserve">HMRC accreditation can be withdrawn as well as granted, ongoing compliance with API terms of use and correct calculation behaviour is a continuing obligation, not a one-time gate passed at launch.</w:t>
      </w:r>
    </w:p>
    <w:p>
      <w:pPr>
        <w:pStyle w:val="ListParagraph"/>
        <w:numPr>
          <w:ilvl w:val="0"/>
          <w:numId w:val="3"/>
        </w:numPr>
        <w:spacing w:after="90" w:line="290"/>
      </w:pPr>
      <w:r>
        <w:rPr>
          <w:color w:val="202020"/>
          <w:sz w:val="21"/>
          <w:szCs w:val="21"/>
        </w:rPr>
        <w:t xml:space="preserve">Rates and thresholds throughout Section 3 change roughly annually. A software release cycle that does not include a mandatory pre-tax-year verification and update pass (the Standing Rule at the end of Section 3.9) will eventually calculate against stale figures.</w:t>
      </w:r>
    </w:p>
    <w:p>
      <w:pPr>
        <w:pStyle w:val="ListParagraph"/>
        <w:numPr>
          <w:ilvl w:val="0"/>
          <w:numId w:val="3"/>
        </w:numPr>
        <w:spacing w:after="90" w:line="290"/>
      </w:pPr>
      <w:r>
        <w:rPr>
          <w:color w:val="202020"/>
          <w:sz w:val="21"/>
          <w:szCs w:val="21"/>
        </w:rPr>
        <w:t xml:space="preserve">The three items flagged in Section 3.9 as unconfirmed from public sources carry real build risk if hard-coded on assumption rather than professional confirmation, particularly the iXBRL tagging depth rules, since that engine is the hardest to change after significant data already depends on its output.</w:t>
      </w:r>
    </w:p>
    <w:p>
      <w:pPr>
        <w:pStyle w:val="Heading1"/>
        <w:spacing w:after="200" w:before="420"/>
      </w:pPr>
      <w:r>
        <w:t xml:space="preserve">12. Reference Tax Engines (Executable Specification)</w:t>
      </w:r>
    </w:p>
    <w:p>
      <w:pPr>
        <w:spacing w:after="150" w:line="300"/>
      </w:pPr>
      <w:r>
        <w:rPr>
          <w:color w:val="202020"/>
          <w:sz w:val="21"/>
          <w:szCs w:val="21"/>
        </w:rPr>
        <w:t xml:space="preserve">Everything in Section 3.1, 3.3 and 3.4 is specified in prose and worked examples, which is enough to brief a developer but not enough to stop a calculation engine drifting from the spec over time as the code is refactored. This section gives Corporation Tax, VAT and Income Tax/NIC as runnable TypeScript, not pseudocode, so each can be dropped into the codebase as a starting point and a permanent executable test suite, not just read and re-implemented from scratch.</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8A1F2D" w:sz="4"/>
              <w:left w:val="single" w:color="8A1F2D" w:sz="4"/>
              <w:bottom w:val="single" w:color="8A1F2D" w:sz="4"/>
              <w:right w:val="single" w:color="8A1F2D" w:sz="4"/>
            </w:tcBorders>
            <w:shd w:fill="FCEEEE" w:color="auto" w:val="clear"/>
            <w:tcMar>
              <w:top w:type="dxa" w:w="140"/>
              <w:left w:type="dxa" w:w="200"/>
              <w:bottom w:type="dxa" w:w="140"/>
              <w:right w:type="dxa" w:w="200"/>
            </w:tcMar>
          </w:tcPr>
          <w:p>
            <w:pPr>
              <w:spacing w:after="60"/>
            </w:pPr>
            <w:r>
              <w:rPr>
                <w:b/>
                <w:bCs/>
                <w:color w:val="8A1F2D"/>
                <w:sz w:val="20"/>
                <w:szCs w:val="20"/>
              </w:rPr>
              <w:t xml:space="preserve">HOW TO USE THIS SECTION</w:t>
            </w:r>
          </w:p>
          <w:p>
            <w:pPr>
              <w:spacing w:after="0"/>
            </w:pPr>
            <w:r>
              <w:rPr>
                <w:color w:val="202020"/>
                <w:sz w:val="20"/>
                <w:szCs w:val="20"/>
              </w:rPr>
              <w:t xml:space="preserve">This is a specification, not production-ready code. None of the three engines below has database access or HTTP handling. Corporation Tax (12.2) is the hardest and highest-value calculation (Section 1.1) and is specified most exhaustively; VAT (12.3) and Income Tax/NIC (12.4) cover the standard cases this document scopes for v1 (Section 3.3, Section 3.4) but do not yet model every edge case in the Verification Register, in particular the 54-sector Flat Rate lookup is a representative subset of the full ~290-trade HMRC table (VR-28) and the Income Tax engine does not yet implement the 2027/28 savings/property rate change (Rule 3.4.8). Before any of the three ships, it must be reviewed line by line by a qualified accountant against the open items in Section 13, exactly as Rule 7.5 requires for the iXBRL engine and Section 10's acceptance criteria require for every module.</w:t>
            </w:r>
          </w:p>
        </w:tc>
      </w:tr>
    </w:tbl>
    <w:p>
      <w:pPr>
        <w:pStyle w:val="Heading2"/>
        <w:spacing w:after="140" w:before="300"/>
      </w:pPr>
      <w:r>
        <w:t xml:space="preserve">12.1 Design principles</w:t>
      </w:r>
    </w:p>
    <w:p>
      <w:pPr>
        <w:spacing w:after="150" w:line="300"/>
      </w:pPr>
      <w:r>
        <w:rPr>
          <w:color w:val="202020"/>
          <w:sz w:val="21"/>
          <w:szCs w:val="21"/>
        </w:rPr>
        <w:t xml:space="preserve">All three engines below share the same four design rules, stated once here rather than repeated three times:</w:t>
      </w:r>
    </w:p>
    <w:p>
      <w:pPr>
        <w:pStyle w:val="ListParagraph"/>
        <w:numPr>
          <w:ilvl w:val="0"/>
          <w:numId w:val="3"/>
        </w:numPr>
        <w:spacing w:after="90" w:line="290"/>
      </w:pPr>
      <w:r>
        <w:rPr>
          <w:color w:val="202020"/>
          <w:sz w:val="21"/>
          <w:szCs w:val="21"/>
        </w:rPr>
        <w:t xml:space="preserve">All money is integer pence, never a floating-point pounds value, except where HMRC's own API schema requires whole pounds (VAT boxes 6-9, Rule 3.3.6a), which is converted at the boundary with an explicit, named rounding function rather than an implicit cast. Floating-point arithmetic on currency produces exactly the kind of off-by-a-penny errors that fail the Rule 3.0.2b balance sheet reconciliation check.</w:t>
      </w:r>
    </w:p>
    <w:p>
      <w:pPr>
        <w:pStyle w:val="ListParagraph"/>
        <w:numPr>
          <w:ilvl w:val="0"/>
          <w:numId w:val="3"/>
        </w:numPr>
        <w:spacing w:after="90" w:line="290"/>
      </w:pPr>
      <w:r>
        <w:rPr>
          <w:color w:val="202020"/>
          <w:sz w:val="21"/>
          <w:szCs w:val="21"/>
        </w:rPr>
        <w:t xml:space="preserve">Dates are plain ISO strings (yyyy-mm-dd), compared and arithmetic'd through small helper functions, not through a date library's own timezone-aware Date object, which is a common source of off-by-one-day bugs around midnight and DST boundaries.</w:t>
      </w:r>
    </w:p>
    <w:p>
      <w:pPr>
        <w:pStyle w:val="ListParagraph"/>
        <w:numPr>
          <w:ilvl w:val="0"/>
          <w:numId w:val="3"/>
        </w:numPr>
        <w:spacing w:after="90" w:line="290"/>
      </w:pPr>
      <w:r>
        <w:rPr>
          <w:color w:val="202020"/>
          <w:sz w:val="21"/>
          <w:szCs w:val="21"/>
        </w:rPr>
        <w:t xml:space="preserve">Rates and thresholds are data, passed into the calculation as a rate table or a rate-bands array, never hardcoded inside the calculation logic itself. This is the same principle as Rule 3.1.9a (WDA rate), Rule 3.1.13a (s455 rate), Rule 3.3.5 (FRS sector rates) and Rule 3.4.8 (the pending savings/property rate change) stated as a coding pattern: a new tax year's Budget should mean adding one row to a table, not editing a formula.</w:t>
      </w:r>
    </w:p>
    <w:p>
      <w:pPr>
        <w:pStyle w:val="ListParagraph"/>
        <w:numPr>
          <w:ilvl w:val="0"/>
          <w:numId w:val="3"/>
        </w:numPr>
        <w:spacing w:after="90" w:line="290"/>
      </w:pPr>
      <w:r>
        <w:rPr>
          <w:color w:val="202020"/>
          <w:sz w:val="21"/>
          <w:szCs w:val="21"/>
        </w:rPr>
        <w:t xml:space="preserve">Anything an engine does not fully model (the large-losses restriction in Corporation Tax, the box 6-9 rounding direction in VAT, the Personal Allowance taper's interaction with Gift Aid and pension relief in Income Tax) returns an explicit warning string rather than silently producing a wrong number or throwing an opaque error.</w:t>
      </w:r>
    </w:p>
    <w:p>
      <w:pPr>
        <w:pStyle w:val="Heading2"/>
        <w:spacing w:after="140" w:before="300"/>
      </w:pPr>
      <w:r>
        <w:t xml:space="preserve">12.2 Corporation Tax engine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shd w:fill="1F2937" w:color="auto" w:val="clear"/>
            <w:tcMar>
              <w:top w:type="dxa" w:w="160"/>
              <w:left w:type="dxa" w:w="200"/>
              <w:bottom w:type="dxa" w:w="160"/>
              <w:right w:type="dxa" w:w="200"/>
            </w:tcMar>
          </w:tcPr>
          <w:p>
            <w:pPr>
              <w:spacing w:after="40"/>
            </w:pPr>
            <w:r>
              <w:rPr>
                <w:rFonts w:ascii="Consolas" w:cs="Consolas" w:eastAsia="Consolas" w:hAnsi="Consolas"/>
                <w:color w:val="E5E7EB"/>
                <w:sz w:val="19"/>
                <w:szCs w:val="19"/>
              </w:rPr>
              <w:t xml:space="preserve">// TaxFlow UK - reference corporation tax engine (executable specification).</w:t>
            </w:r>
          </w:p>
          <w:p>
            <w:pPr>
              <w:spacing w:after="40"/>
            </w:pPr>
            <w:r>
              <w:rPr>
                <w:rFonts w:ascii="Consolas" w:cs="Consolas" w:eastAsia="Consolas" w:hAnsi="Consolas"/>
                <w:color w:val="E5E7EB"/>
                <w:sz w:val="19"/>
                <w:szCs w:val="19"/>
              </w:rPr>
              <w:t xml:space="preserve">// All money is integer pence. Dates are ISO yyyy-mm-dd, inclusive at both ends.</w:t>
            </w:r>
          </w:p>
          <w:p>
            <w:pPr>
              <w:spacing w:after="40"/>
            </w:pPr>
            <w:r>
              <w:rPr>
                <w:rFonts w:ascii="Consolas" w:cs="Consolas" w:eastAsia="Consolas" w:hAnsi="Consolas"/>
                <w:color w:val="E5E7EB"/>
                <w:sz w:val="19"/>
                <w:szCs w:val="19"/>
              </w:rPr>
              <w:t xml:space="preserve">// Rates and thresholds are DATA (see RATE_TABLES), never constants buried in logic.</w:t>
            </w:r>
          </w:p>
          <w:p>
            <w:pPr>
              <w:spacing w:after="40"/>
            </w:pPr>
            <w:r>
              <w:rPr>
                <w:rFonts w:ascii="Consolas" w:cs="Consolas" w:eastAsia="Consolas" w:hAnsi="Consolas"/>
                <w:color w:val="E5E7EB"/>
                <w:sz w:val="19"/>
                <w:szCs w:val="19"/>
              </w:rPr>
              <w:t xml:space="preserve"/>
            </w:r>
          </w:p>
          <w:p>
            <w:pPr>
              <w:spacing w:after="40"/>
            </w:pPr>
            <w:r>
              <w:rPr>
                <w:rFonts w:ascii="Consolas" w:cs="Consolas" w:eastAsia="Consolas" w:hAnsi="Consolas"/>
                <w:color w:val="E5E7EB"/>
                <w:sz w:val="19"/>
                <w:szCs w:val="19"/>
              </w:rPr>
              <w:t xml:space="preserve">export type Pence = number;</w:t>
            </w:r>
          </w:p>
          <w:p>
            <w:pPr>
              <w:spacing w:after="40"/>
            </w:pPr>
            <w:r>
              <w:rPr>
                <w:rFonts w:ascii="Consolas" w:cs="Consolas" w:eastAsia="Consolas" w:hAnsi="Consolas"/>
                <w:color w:val="E5E7EB"/>
                <w:sz w:val="19"/>
                <w:szCs w:val="19"/>
              </w:rPr>
              <w:t xml:space="preserve">export interface DateRange { start: string; end: string }</w:t>
            </w:r>
          </w:p>
          <w:p>
            <w:pPr>
              <w:spacing w:after="40"/>
            </w:pPr>
            <w:r>
              <w:rPr>
                <w:rFonts w:ascii="Consolas" w:cs="Consolas" w:eastAsia="Consolas" w:hAnsi="Consolas"/>
                <w:color w:val="E5E7EB"/>
                <w:sz w:val="19"/>
                <w:szCs w:val="19"/>
              </w:rPr>
              <w:t xml:space="preserve"/>
            </w:r>
          </w:p>
          <w:p>
            <w:pPr>
              <w:spacing w:after="40"/>
            </w:pPr>
            <w:r>
              <w:rPr>
                <w:rFonts w:ascii="Consolas" w:cs="Consolas" w:eastAsia="Consolas" w:hAnsi="Consolas"/>
                <w:color w:val="E5E7EB"/>
                <w:sz w:val="19"/>
                <w:szCs w:val="19"/>
              </w:rPr>
              <w:t xml:space="preserve">// ---------- date helpers (UTC, no local-time surprises) ----------</w:t>
            </w:r>
          </w:p>
          <w:p>
            <w:pPr>
              <w:spacing w:after="40"/>
            </w:pPr>
            <w:r>
              <w:rPr>
                <w:rFonts w:ascii="Consolas" w:cs="Consolas" w:eastAsia="Consolas" w:hAnsi="Consolas"/>
                <w:color w:val="E5E7EB"/>
                <w:sz w:val="19"/>
                <w:szCs w:val="19"/>
              </w:rPr>
              <w:t xml:space="preserve">const MS_DAY = 86_400_000;</w:t>
            </w:r>
          </w:p>
          <w:p>
            <w:pPr>
              <w:spacing w:after="40"/>
            </w:pPr>
            <w:r>
              <w:rPr>
                <w:rFonts w:ascii="Consolas" w:cs="Consolas" w:eastAsia="Consolas" w:hAnsi="Consolas"/>
                <w:color w:val="E5E7EB"/>
                <w:sz w:val="19"/>
                <w:szCs w:val="19"/>
              </w:rPr>
              <w:t xml:space="preserve">const parse = (iso: string): Date =&gt; {</w:t>
            </w:r>
          </w:p>
          <w:p>
            <w:pPr>
              <w:spacing w:after="40"/>
            </w:pPr>
            <w:r>
              <w:rPr>
                <w:rFonts w:ascii="Consolas" w:cs="Consolas" w:eastAsia="Consolas" w:hAnsi="Consolas"/>
                <w:color w:val="E5E7EB"/>
                <w:sz w:val="19"/>
                <w:szCs w:val="19"/>
              </w:rPr>
              <w:t xml:space="preserve">  const [y, m, d] = iso.split('-').map(Number);</w:t>
            </w:r>
          </w:p>
          <w:p>
            <w:pPr>
              <w:spacing w:after="40"/>
            </w:pPr>
            <w:r>
              <w:rPr>
                <w:rFonts w:ascii="Consolas" w:cs="Consolas" w:eastAsia="Consolas" w:hAnsi="Consolas"/>
                <w:color w:val="E5E7EB"/>
                <w:sz w:val="19"/>
                <w:szCs w:val="19"/>
              </w:rPr>
              <w:t xml:space="preserve">  return new Date(Date.UTC(y, m - 1, d));</w:t>
            </w:r>
          </w:p>
          <w:p>
            <w:pPr>
              <w:spacing w:after="40"/>
            </w:pPr>
            <w:r>
              <w:rPr>
                <w:rFonts w:ascii="Consolas" w:cs="Consolas" w:eastAsia="Consolas" w:hAnsi="Consolas"/>
                <w:color w:val="E5E7EB"/>
                <w:sz w:val="19"/>
                <w:szCs w:val="19"/>
              </w:rPr>
              <w:t xml:space="preserve">};</w:t>
            </w:r>
          </w:p>
          <w:p>
            <w:pPr>
              <w:spacing w:after="40"/>
            </w:pPr>
            <w:r>
              <w:rPr>
                <w:rFonts w:ascii="Consolas" w:cs="Consolas" w:eastAsia="Consolas" w:hAnsi="Consolas"/>
                <w:color w:val="E5E7EB"/>
                <w:sz w:val="19"/>
                <w:szCs w:val="19"/>
              </w:rPr>
              <w:t xml:space="preserve">const fmt = (dt: Date): string =&gt; dt.toISOString().slice(0, 10);</w:t>
            </w:r>
          </w:p>
          <w:p>
            <w:pPr>
              <w:spacing w:after="40"/>
            </w:pPr>
            <w:r>
              <w:rPr>
                <w:rFonts w:ascii="Consolas" w:cs="Consolas" w:eastAsia="Consolas" w:hAnsi="Consolas"/>
                <w:color w:val="E5E7EB"/>
                <w:sz w:val="19"/>
                <w:szCs w:val="19"/>
              </w:rPr>
              <w:t xml:space="preserve">const addDays = (iso: string, n: number): string =&gt; fmt(new Date(parse(iso).getTime() + n * MS_DAY));</w:t>
            </w:r>
          </w:p>
          <w:p>
            <w:pPr>
              <w:spacing w:after="40"/>
            </w:pPr>
            <w:r>
              <w:rPr>
                <w:rFonts w:ascii="Consolas" w:cs="Consolas" w:eastAsia="Consolas" w:hAnsi="Consolas"/>
                <w:color w:val="E5E7EB"/>
                <w:sz w:val="19"/>
                <w:szCs w:val="19"/>
              </w:rPr>
              <w:t xml:space="preserve"/>
            </w:r>
          </w:p>
          <w:p>
            <w:pPr>
              <w:spacing w:after="40"/>
            </w:pPr>
            <w:r>
              <w:rPr>
                <w:rFonts w:ascii="Consolas" w:cs="Consolas" w:eastAsia="Consolas" w:hAnsi="Consolas"/>
                <w:color w:val="E5E7EB"/>
                <w:sz w:val="19"/>
                <w:szCs w:val="19"/>
              </w:rPr>
              <w:t xml:space="preserve">/** Inclusive day count: 2025-03-15 .. 2026-03-31 is 382, not 381. */</w:t>
            </w:r>
          </w:p>
          <w:p>
            <w:pPr>
              <w:spacing w:after="40"/>
            </w:pPr>
            <w:r>
              <w:rPr>
                <w:rFonts w:ascii="Consolas" w:cs="Consolas" w:eastAsia="Consolas" w:hAnsi="Consolas"/>
                <w:color w:val="E5E7EB"/>
                <w:sz w:val="19"/>
                <w:szCs w:val="19"/>
              </w:rPr>
              <w:t xml:space="preserve">export function daysInclusive(start: string, end: string): number {</w:t>
            </w:r>
          </w:p>
          <w:p>
            <w:pPr>
              <w:spacing w:after="40"/>
            </w:pPr>
            <w:r>
              <w:rPr>
                <w:rFonts w:ascii="Consolas" w:cs="Consolas" w:eastAsia="Consolas" w:hAnsi="Consolas"/>
                <w:color w:val="E5E7EB"/>
                <w:sz w:val="19"/>
                <w:szCs w:val="19"/>
              </w:rPr>
              <w:t xml:space="preserve">  return Math.round((parse(end).getTime() - parse(start).getTime()) / MS_DAY) + 1;</w:t>
            </w:r>
          </w:p>
          <w:p>
            <w:pPr>
              <w:spacing w:after="40"/>
            </w:pPr>
            <w:r>
              <w:rPr>
                <w:rFonts w:ascii="Consolas" w:cs="Consolas" w:eastAsia="Consolas" w:hAnsi="Consolas"/>
                <w:color w:val="E5E7EB"/>
                <w:sz w:val="19"/>
                <w:szCs w:val="19"/>
              </w:rPr>
              <w:t xml:space="preserve">}</w:t>
            </w:r>
          </w:p>
          <w:p>
            <w:pPr>
              <w:spacing w:after="40"/>
            </w:pPr>
            <w:r>
              <w:rPr>
                <w:rFonts w:ascii="Consolas" w:cs="Consolas" w:eastAsia="Consolas" w:hAnsi="Consolas"/>
                <w:color w:val="E5E7EB"/>
                <w:sz w:val="19"/>
                <w:szCs w:val="19"/>
              </w:rPr>
              <w:t xml:space="preserve"/>
            </w:r>
          </w:p>
          <w:p>
            <w:pPr>
              <w:spacing w:after="40"/>
            </w:pPr>
            <w:r>
              <w:rPr>
                <w:rFonts w:ascii="Consolas" w:cs="Consolas" w:eastAsia="Consolas" w:hAnsi="Consolas"/>
                <w:color w:val="E5E7EB"/>
                <w:sz w:val="19"/>
                <w:szCs w:val="19"/>
              </w:rPr>
              <w:t xml:space="preserve">/** Corresponding-date month addition; clamps to month end when the day does not exist. */</w:t>
            </w:r>
          </w:p>
          <w:p>
            <w:pPr>
              <w:spacing w:after="40"/>
            </w:pPr>
            <w:r>
              <w:rPr>
                <w:rFonts w:ascii="Consolas" w:cs="Consolas" w:eastAsia="Consolas" w:hAnsi="Consolas"/>
                <w:color w:val="E5E7EB"/>
                <w:sz w:val="19"/>
                <w:szCs w:val="19"/>
              </w:rPr>
              <w:t xml:space="preserve">export function addMonths(iso: string, months: number): string {</w:t>
            </w:r>
          </w:p>
          <w:p>
            <w:pPr>
              <w:spacing w:after="40"/>
            </w:pPr>
            <w:r>
              <w:rPr>
                <w:rFonts w:ascii="Consolas" w:cs="Consolas" w:eastAsia="Consolas" w:hAnsi="Consolas"/>
                <w:color w:val="E5E7EB"/>
                <w:sz w:val="19"/>
                <w:szCs w:val="19"/>
              </w:rPr>
              <w:t xml:space="preserve">  const d = parse(iso);</w:t>
            </w:r>
          </w:p>
          <w:p>
            <w:pPr>
              <w:spacing w:after="40"/>
            </w:pPr>
            <w:r>
              <w:rPr>
                <w:rFonts w:ascii="Consolas" w:cs="Consolas" w:eastAsia="Consolas" w:hAnsi="Consolas"/>
                <w:color w:val="E5E7EB"/>
                <w:sz w:val="19"/>
                <w:szCs w:val="19"/>
              </w:rPr>
              <w:t xml:space="preserve">  const y = d.getUTCFullYear();</w:t>
            </w:r>
          </w:p>
          <w:p>
            <w:pPr>
              <w:spacing w:after="40"/>
            </w:pPr>
            <w:r>
              <w:rPr>
                <w:rFonts w:ascii="Consolas" w:cs="Consolas" w:eastAsia="Consolas" w:hAnsi="Consolas"/>
                <w:color w:val="E5E7EB"/>
                <w:sz w:val="19"/>
                <w:szCs w:val="19"/>
              </w:rPr>
              <w:t xml:space="preserve">  const m = d.getUTCMonth() + months;</w:t>
            </w:r>
          </w:p>
          <w:p>
            <w:pPr>
              <w:spacing w:after="40"/>
            </w:pPr>
            <w:r>
              <w:rPr>
                <w:rFonts w:ascii="Consolas" w:cs="Consolas" w:eastAsia="Consolas" w:hAnsi="Consolas"/>
                <w:color w:val="E5E7EB"/>
                <w:sz w:val="19"/>
                <w:szCs w:val="19"/>
              </w:rPr>
              <w:t xml:space="preserve">  const day = d.getUTCDate();</w:t>
            </w:r>
          </w:p>
          <w:p>
            <w:pPr>
              <w:spacing w:after="40"/>
            </w:pPr>
            <w:r>
              <w:rPr>
                <w:rFonts w:ascii="Consolas" w:cs="Consolas" w:eastAsia="Consolas" w:hAnsi="Consolas"/>
                <w:color w:val="E5E7EB"/>
                <w:sz w:val="19"/>
                <w:szCs w:val="19"/>
              </w:rPr>
              <w:t xml:space="preserve">  const lastOfTarget = new Date(Date.UTC(y, m + 1, 0)).getUTCDate();</w:t>
            </w:r>
          </w:p>
          <w:p>
            <w:pPr>
              <w:spacing w:after="40"/>
            </w:pPr>
            <w:r>
              <w:rPr>
                <w:rFonts w:ascii="Consolas" w:cs="Consolas" w:eastAsia="Consolas" w:hAnsi="Consolas"/>
                <w:color w:val="E5E7EB"/>
                <w:sz w:val="19"/>
                <w:szCs w:val="19"/>
              </w:rPr>
              <w:t xml:space="preserve">  return fmt(new Date(Date.UTC(y, m, Math.min(day, lastOfTarget))));</w:t>
            </w:r>
          </w:p>
          <w:p>
            <w:pPr>
              <w:spacing w:after="40"/>
            </w:pPr>
            <w:r>
              <w:rPr>
                <w:rFonts w:ascii="Consolas" w:cs="Consolas" w:eastAsia="Consolas" w:hAnsi="Consolas"/>
                <w:color w:val="E5E7EB"/>
                <w:sz w:val="19"/>
                <w:szCs w:val="19"/>
              </w:rPr>
              <w:t xml:space="preserve">}</w:t>
            </w:r>
          </w:p>
          <w:p>
            <w:pPr>
              <w:spacing w:after="40"/>
            </w:pPr>
            <w:r>
              <w:rPr>
                <w:rFonts w:ascii="Consolas" w:cs="Consolas" w:eastAsia="Consolas" w:hAnsi="Consolas"/>
                <w:color w:val="E5E7EB"/>
                <w:sz w:val="19"/>
                <w:szCs w:val="19"/>
              </w:rPr>
              <w:t xml:space="preserve"/>
            </w:r>
          </w:p>
          <w:p>
            <w:pPr>
              <w:spacing w:after="40"/>
            </w:pPr>
            <w:r>
              <w:rPr>
                <w:rFonts w:ascii="Consolas" w:cs="Consolas" w:eastAsia="Consolas" w:hAnsi="Consolas"/>
                <w:color w:val="E5E7EB"/>
                <w:sz w:val="19"/>
                <w:szCs w:val="19"/>
              </w:rPr>
              <w:t xml:space="preserve">// ---------- accounting period splitting ----------</w:t>
            </w:r>
          </w:p>
          <w:p>
            <w:pPr>
              <w:spacing w:after="40"/>
            </w:pPr>
            <w:r>
              <w:rPr>
                <w:rFonts w:ascii="Consolas" w:cs="Consolas" w:eastAsia="Consolas" w:hAnsi="Consolas"/>
                <w:color w:val="E5E7EB"/>
                <w:sz w:val="19"/>
                <w:szCs w:val="19"/>
              </w:rPr>
              <w:t xml:space="preserve">/** A period of account longer than 12 months becomes a 12-month CT period plus the remainder. */</w:t>
            </w:r>
          </w:p>
          <w:p>
            <w:pPr>
              <w:spacing w:after="40"/>
            </w:pPr>
            <w:r>
              <w:rPr>
                <w:rFonts w:ascii="Consolas" w:cs="Consolas" w:eastAsia="Consolas" w:hAnsi="Consolas"/>
                <w:color w:val="E5E7EB"/>
                <w:sz w:val="19"/>
                <w:szCs w:val="19"/>
              </w:rPr>
              <w:t xml:space="preserve">export function splitIntoAccountingPeriods(start: string, end: string): DateRange[] {</w:t>
            </w:r>
          </w:p>
          <w:p>
            <w:pPr>
              <w:spacing w:after="40"/>
            </w:pPr>
            <w:r>
              <w:rPr>
                <w:rFonts w:ascii="Consolas" w:cs="Consolas" w:eastAsia="Consolas" w:hAnsi="Consolas"/>
                <w:color w:val="E5E7EB"/>
                <w:sz w:val="19"/>
                <w:szCs w:val="19"/>
              </w:rPr>
              <w:t xml:space="preserve">  const out: DateRange[] = [];</w:t>
            </w:r>
          </w:p>
          <w:p>
            <w:pPr>
              <w:spacing w:after="40"/>
            </w:pPr>
            <w:r>
              <w:rPr>
                <w:rFonts w:ascii="Consolas" w:cs="Consolas" w:eastAsia="Consolas" w:hAnsi="Consolas"/>
                <w:color w:val="E5E7EB"/>
                <w:sz w:val="19"/>
                <w:szCs w:val="19"/>
              </w:rPr>
              <w:t xml:space="preserve">  let cursor = start;</w:t>
            </w:r>
          </w:p>
          <w:p>
            <w:pPr>
              <w:spacing w:after="40"/>
            </w:pPr>
            <w:r>
              <w:rPr>
                <w:rFonts w:ascii="Consolas" w:cs="Consolas" w:eastAsia="Consolas" w:hAnsi="Consolas"/>
                <w:color w:val="E5E7EB"/>
                <w:sz w:val="19"/>
                <w:szCs w:val="19"/>
              </w:rPr>
              <w:t xml:space="preserve">  while (cursor &lt;= end) {</w:t>
            </w:r>
          </w:p>
          <w:p>
            <w:pPr>
              <w:spacing w:after="40"/>
            </w:pPr>
            <w:r>
              <w:rPr>
                <w:rFonts w:ascii="Consolas" w:cs="Consolas" w:eastAsia="Consolas" w:hAnsi="Consolas"/>
                <w:color w:val="E5E7EB"/>
                <w:sz w:val="19"/>
                <w:szCs w:val="19"/>
              </w:rPr>
              <w:t xml:space="preserve">    const twelveMonthEnd = addDays(addMonths(cursor, 12), -1);</w:t>
            </w:r>
          </w:p>
          <w:p>
            <w:pPr>
              <w:spacing w:after="40"/>
            </w:pPr>
            <w:r>
              <w:rPr>
                <w:rFonts w:ascii="Consolas" w:cs="Consolas" w:eastAsia="Consolas" w:hAnsi="Consolas"/>
                <w:color w:val="E5E7EB"/>
                <w:sz w:val="19"/>
                <w:szCs w:val="19"/>
              </w:rPr>
              <w:t xml:space="preserve">    const apEnd = twelveMonthEnd &lt; end ? twelveMonthEnd : end;</w:t>
            </w:r>
          </w:p>
          <w:p>
            <w:pPr>
              <w:spacing w:after="40"/>
            </w:pPr>
            <w:r>
              <w:rPr>
                <w:rFonts w:ascii="Consolas" w:cs="Consolas" w:eastAsia="Consolas" w:hAnsi="Consolas"/>
                <w:color w:val="E5E7EB"/>
                <w:sz w:val="19"/>
                <w:szCs w:val="19"/>
              </w:rPr>
              <w:t xml:space="preserve">    out.push({ start: cursor, end: apEnd });</w:t>
            </w:r>
          </w:p>
          <w:p>
            <w:pPr>
              <w:spacing w:after="40"/>
            </w:pPr>
            <w:r>
              <w:rPr>
                <w:rFonts w:ascii="Consolas" w:cs="Consolas" w:eastAsia="Consolas" w:hAnsi="Consolas"/>
                <w:color w:val="E5E7EB"/>
                <w:sz w:val="19"/>
                <w:szCs w:val="19"/>
              </w:rPr>
              <w:t xml:space="preserve">    cursor = addDays(apEnd, 1);</w:t>
            </w:r>
          </w:p>
          <w:p>
            <w:pPr>
              <w:spacing w:after="40"/>
            </w:pPr>
            <w:r>
              <w:rPr>
                <w:rFonts w:ascii="Consolas" w:cs="Consolas" w:eastAsia="Consolas" w:hAnsi="Consolas"/>
                <w:color w:val="E5E7EB"/>
                <w:sz w:val="19"/>
                <w:szCs w:val="19"/>
              </w:rPr>
              <w:t xml:space="preserve">  }</w:t>
            </w:r>
          </w:p>
          <w:p>
            <w:pPr>
              <w:spacing w:after="40"/>
            </w:pPr>
            <w:r>
              <w:rPr>
                <w:rFonts w:ascii="Consolas" w:cs="Consolas" w:eastAsia="Consolas" w:hAnsi="Consolas"/>
                <w:color w:val="E5E7EB"/>
                <w:sz w:val="19"/>
                <w:szCs w:val="19"/>
              </w:rPr>
              <w:t xml:space="preserve">  return out;</w:t>
            </w:r>
          </w:p>
          <w:p>
            <w:pPr>
              <w:spacing w:after="40"/>
            </w:pPr>
            <w:r>
              <w:rPr>
                <w:rFonts w:ascii="Consolas" w:cs="Consolas" w:eastAsia="Consolas" w:hAnsi="Consolas"/>
                <w:color w:val="E5E7EB"/>
                <w:sz w:val="19"/>
                <w:szCs w:val="19"/>
              </w:rPr>
              <w:t xml:space="preserve">}</w:t>
            </w:r>
          </w:p>
          <w:p>
            <w:pPr>
              <w:spacing w:after="40"/>
            </w:pPr>
            <w:r>
              <w:rPr>
                <w:rFonts w:ascii="Consolas" w:cs="Consolas" w:eastAsia="Consolas" w:hAnsi="Consolas"/>
                <w:color w:val="E5E7EB"/>
                <w:sz w:val="19"/>
                <w:szCs w:val="19"/>
              </w:rPr>
              <w:t xml:space="preserve"/>
            </w:r>
          </w:p>
          <w:p>
            <w:pPr>
              <w:spacing w:after="40"/>
            </w:pPr>
            <w:r>
              <w:rPr>
                <w:rFonts w:ascii="Consolas" w:cs="Consolas" w:eastAsia="Consolas" w:hAnsi="Consolas"/>
                <w:color w:val="E5E7EB"/>
                <w:sz w:val="19"/>
                <w:szCs w:val="19"/>
              </w:rPr>
              <w:t xml:space="preserve">/** Statutory payment date: 9 months and 1 day after period end (verify month-end convention, VR-07). */</w:t>
            </w:r>
          </w:p>
          <w:p>
            <w:pPr>
              <w:spacing w:after="40"/>
            </w:pPr>
            <w:r>
              <w:rPr>
                <w:rFonts w:ascii="Consolas" w:cs="Consolas" w:eastAsia="Consolas" w:hAnsi="Consolas"/>
                <w:color w:val="E5E7EB"/>
                <w:sz w:val="19"/>
                <w:szCs w:val="19"/>
              </w:rPr>
              <w:t xml:space="preserve">export const ctPaymentDueDate = (apEnd: string): string =&gt; addDays(addMonths(apEnd, 9), 1);</w:t>
            </w:r>
          </w:p>
          <w:p>
            <w:pPr>
              <w:spacing w:after="40"/>
            </w:pPr>
            <w:r>
              <w:rPr>
                <w:rFonts w:ascii="Consolas" w:cs="Consolas" w:eastAsia="Consolas" w:hAnsi="Consolas"/>
                <w:color w:val="E5E7EB"/>
                <w:sz w:val="19"/>
                <w:szCs w:val="19"/>
              </w:rPr>
              <w:t xml:space="preserve"/>
            </w:r>
          </w:p>
          <w:p>
            <w:pPr>
              <w:spacing w:after="40"/>
            </w:pPr>
            <w:r>
              <w:rPr>
                <w:rFonts w:ascii="Consolas" w:cs="Consolas" w:eastAsia="Consolas" w:hAnsi="Consolas"/>
                <w:color w:val="E5E7EB"/>
                <w:sz w:val="19"/>
                <w:szCs w:val="19"/>
              </w:rPr>
              <w:t xml:space="preserve">// ---------- versioned rate data ----------</w:t>
            </w:r>
          </w:p>
          <w:p>
            <w:pPr>
              <w:spacing w:after="40"/>
            </w:pPr>
            <w:r>
              <w:rPr>
                <w:rFonts w:ascii="Consolas" w:cs="Consolas" w:eastAsia="Consolas" w:hAnsi="Consolas"/>
                <w:color w:val="E5E7EB"/>
                <w:sz w:val="19"/>
                <w:szCs w:val="19"/>
              </w:rPr>
              <w:t xml:space="preserve">export interface RateTable {</w:t>
            </w:r>
          </w:p>
          <w:p>
            <w:pPr>
              <w:spacing w:after="40"/>
            </w:pPr>
            <w:r>
              <w:rPr>
                <w:rFonts w:ascii="Consolas" w:cs="Consolas" w:eastAsia="Consolas" w:hAnsi="Consolas"/>
                <w:color w:val="E5E7EB"/>
                <w:sz w:val="19"/>
                <w:szCs w:val="19"/>
              </w:rPr>
              <w:t xml:space="preserve">  smallProfitsLimitPence: Pence; // full-year, before associated-company division</w:t>
            </w:r>
          </w:p>
          <w:p>
            <w:pPr>
              <w:spacing w:after="40"/>
            </w:pPr>
            <w:r>
              <w:rPr>
                <w:rFonts w:ascii="Consolas" w:cs="Consolas" w:eastAsia="Consolas" w:hAnsi="Consolas"/>
                <w:color w:val="E5E7EB"/>
                <w:sz w:val="19"/>
                <w:szCs w:val="19"/>
              </w:rPr>
              <w:t xml:space="preserve">  upperLimitPence: Pence;</w:t>
            </w:r>
          </w:p>
          <w:p>
            <w:pPr>
              <w:spacing w:after="40"/>
            </w:pPr>
            <w:r>
              <w:rPr>
                <w:rFonts w:ascii="Consolas" w:cs="Consolas" w:eastAsia="Consolas" w:hAnsi="Consolas"/>
                <w:color w:val="E5E7EB"/>
                <w:sz w:val="19"/>
                <w:szCs w:val="19"/>
              </w:rPr>
              <w:t xml:space="preserve">  smallRateNum: number; smallRateDen: number; // 19/100</w:t>
            </w:r>
          </w:p>
          <w:p>
            <w:pPr>
              <w:spacing w:after="40"/>
            </w:pPr>
            <w:r>
              <w:rPr>
                <w:rFonts w:ascii="Consolas" w:cs="Consolas" w:eastAsia="Consolas" w:hAnsi="Consolas"/>
                <w:color w:val="E5E7EB"/>
                <w:sz w:val="19"/>
                <w:szCs w:val="19"/>
              </w:rPr>
              <w:t xml:space="preserve">  mainRateNum: number; mainRateDen: number;   // 25/100</w:t>
            </w:r>
          </w:p>
          <w:p>
            <w:pPr>
              <w:spacing w:after="40"/>
            </w:pPr>
            <w:r>
              <w:rPr>
                <w:rFonts w:ascii="Consolas" w:cs="Consolas" w:eastAsia="Consolas" w:hAnsi="Consolas"/>
                <w:color w:val="E5E7EB"/>
                <w:sz w:val="19"/>
                <w:szCs w:val="19"/>
              </w:rPr>
              <w:t xml:space="preserve">  marginalFractionNum: number; marginalFractionDen: number; // 3/200</w:t>
            </w:r>
          </w:p>
          <w:p>
            <w:pPr>
              <w:spacing w:after="40"/>
            </w:pPr>
            <w:r>
              <w:rPr>
                <w:rFonts w:ascii="Consolas" w:cs="Consolas" w:eastAsia="Consolas" w:hAnsi="Consolas"/>
                <w:color w:val="E5E7EB"/>
                <w:sz w:val="19"/>
                <w:szCs w:val="19"/>
              </w:rPr>
              <w:t xml:space="preserve">}</w:t>
            </w:r>
          </w:p>
          <w:p>
            <w:pPr>
              <w:spacing w:after="40"/>
            </w:pPr>
            <w:r>
              <w:rPr>
                <w:rFonts w:ascii="Consolas" w:cs="Consolas" w:eastAsia="Consolas" w:hAnsi="Consolas"/>
                <w:color w:val="E5E7EB"/>
                <w:sz w:val="19"/>
                <w:szCs w:val="19"/>
              </w:rPr>
              <w:t xml:space="preserve">export const RATES_FY2023_ONWARDS: RateTable = {</w:t>
            </w:r>
          </w:p>
          <w:p>
            <w:pPr>
              <w:spacing w:after="40"/>
            </w:pPr>
            <w:r>
              <w:rPr>
                <w:rFonts w:ascii="Consolas" w:cs="Consolas" w:eastAsia="Consolas" w:hAnsi="Consolas"/>
                <w:color w:val="E5E7EB"/>
                <w:sz w:val="19"/>
                <w:szCs w:val="19"/>
              </w:rPr>
              <w:t xml:space="preserve">  smallProfitsLimitPence: 50_000_00, upperLimitPence: 250_000_00,</w:t>
            </w:r>
          </w:p>
          <w:p>
            <w:pPr>
              <w:spacing w:after="40"/>
            </w:pPr>
            <w:r>
              <w:rPr>
                <w:rFonts w:ascii="Consolas" w:cs="Consolas" w:eastAsia="Consolas" w:hAnsi="Consolas"/>
                <w:color w:val="E5E7EB"/>
                <w:sz w:val="19"/>
                <w:szCs w:val="19"/>
              </w:rPr>
              <w:t xml:space="preserve">  smallRateNum: 19, smallRateDen: 100, mainRateNum: 25, mainRateDen: 100,</w:t>
            </w:r>
          </w:p>
          <w:p>
            <w:pPr>
              <w:spacing w:after="40"/>
            </w:pPr>
            <w:r>
              <w:rPr>
                <w:rFonts w:ascii="Consolas" w:cs="Consolas" w:eastAsia="Consolas" w:hAnsi="Consolas"/>
                <w:color w:val="E5E7EB"/>
                <w:sz w:val="19"/>
                <w:szCs w:val="19"/>
              </w:rPr>
              <w:t xml:space="preserve">  marginalFractionNum: 3, marginalFractionDen: 200,</w:t>
            </w:r>
          </w:p>
          <w:p>
            <w:pPr>
              <w:spacing w:after="40"/>
            </w:pPr>
            <w:r>
              <w:rPr>
                <w:rFonts w:ascii="Consolas" w:cs="Consolas" w:eastAsia="Consolas" w:hAnsi="Consolas"/>
                <w:color w:val="E5E7EB"/>
                <w:sz w:val="19"/>
                <w:szCs w:val="19"/>
              </w:rPr>
              <w:t xml:space="preserve">};</w:t>
            </w:r>
          </w:p>
          <w:p>
            <w:pPr>
              <w:spacing w:after="40"/>
            </w:pPr>
            <w:r>
              <w:rPr>
                <w:rFonts w:ascii="Consolas" w:cs="Consolas" w:eastAsia="Consolas" w:hAnsi="Consolas"/>
                <w:color w:val="E5E7EB"/>
                <w:sz w:val="19"/>
                <w:szCs w:val="19"/>
              </w:rPr>
              <w:t xml:space="preserve"/>
            </w:r>
          </w:p>
          <w:p>
            <w:pPr>
              <w:spacing w:after="40"/>
            </w:pPr>
            <w:r>
              <w:rPr>
                <w:rFonts w:ascii="Consolas" w:cs="Consolas" w:eastAsia="Consolas" w:hAnsi="Consolas"/>
                <w:color w:val="E5E7EB"/>
                <w:sz w:val="19"/>
                <w:szCs w:val="19"/>
              </w:rPr>
              <w:t xml:space="preserve">/** s455 rate follows the dividend upper rate for the tax year in which the LOAN WAS MADE, see Rule 3.1.13a. */</w:t>
            </w:r>
          </w:p>
          <w:p>
            <w:pPr>
              <w:spacing w:after="40"/>
            </w:pPr>
            <w:r>
              <w:rPr>
                <w:rFonts w:ascii="Consolas" w:cs="Consolas" w:eastAsia="Consolas" w:hAnsi="Consolas"/>
                <w:color w:val="E5E7EB"/>
                <w:sz w:val="19"/>
                <w:szCs w:val="19"/>
              </w:rPr>
              <w:t xml:space="preserve">export const S455_RATE_BANDS: { from: string; ratePct: number }[] = [</w:t>
            </w:r>
          </w:p>
          <w:p>
            <w:pPr>
              <w:spacing w:after="40"/>
            </w:pPr>
            <w:r>
              <w:rPr>
                <w:rFonts w:ascii="Consolas" w:cs="Consolas" w:eastAsia="Consolas" w:hAnsi="Consolas"/>
                <w:color w:val="E5E7EB"/>
                <w:sz w:val="19"/>
                <w:szCs w:val="19"/>
              </w:rPr>
              <w:t xml:space="preserve">  { from: '0000-01-01', ratePct: 25 },</w:t>
            </w:r>
          </w:p>
          <w:p>
            <w:pPr>
              <w:spacing w:after="40"/>
            </w:pPr>
            <w:r>
              <w:rPr>
                <w:rFonts w:ascii="Consolas" w:cs="Consolas" w:eastAsia="Consolas" w:hAnsi="Consolas"/>
                <w:color w:val="E5E7EB"/>
                <w:sz w:val="19"/>
                <w:szCs w:val="19"/>
              </w:rPr>
              <w:t xml:space="preserve">  { from: '2016-04-06', ratePct: 32.5 },</w:t>
            </w:r>
          </w:p>
          <w:p>
            <w:pPr>
              <w:spacing w:after="40"/>
            </w:pPr>
            <w:r>
              <w:rPr>
                <w:rFonts w:ascii="Consolas" w:cs="Consolas" w:eastAsia="Consolas" w:hAnsi="Consolas"/>
                <w:color w:val="E5E7EB"/>
                <w:sz w:val="19"/>
                <w:szCs w:val="19"/>
              </w:rPr>
              <w:t xml:space="preserve">  { from: '2022-04-06', ratePct: 33.75 },</w:t>
            </w:r>
          </w:p>
          <w:p>
            <w:pPr>
              <w:spacing w:after="40"/>
            </w:pPr>
            <w:r>
              <w:rPr>
                <w:rFonts w:ascii="Consolas" w:cs="Consolas" w:eastAsia="Consolas" w:hAnsi="Consolas"/>
                <w:color w:val="E5E7EB"/>
                <w:sz w:val="19"/>
                <w:szCs w:val="19"/>
              </w:rPr>
              <w:t xml:space="preserve">  { from: '2026-04-06', ratePct: 35.75 },</w:t>
            </w:r>
          </w:p>
          <w:p>
            <w:pPr>
              <w:spacing w:after="40"/>
            </w:pPr>
            <w:r>
              <w:rPr>
                <w:rFonts w:ascii="Consolas" w:cs="Consolas" w:eastAsia="Consolas" w:hAnsi="Consolas"/>
                <w:color w:val="E5E7EB"/>
                <w:sz w:val="19"/>
                <w:szCs w:val="19"/>
              </w:rPr>
              <w:t xml:space="preserve">];</w:t>
            </w:r>
          </w:p>
          <w:p>
            <w:pPr>
              <w:spacing w:after="40"/>
            </w:pPr>
            <w:r>
              <w:rPr>
                <w:rFonts w:ascii="Consolas" w:cs="Consolas" w:eastAsia="Consolas" w:hAnsi="Consolas"/>
                <w:color w:val="E5E7EB"/>
                <w:sz w:val="19"/>
                <w:szCs w:val="19"/>
              </w:rPr>
              <w:t xml:space="preserve">export function s455RatePct(loanMadeOn: string): number {</w:t>
            </w:r>
          </w:p>
          <w:p>
            <w:pPr>
              <w:spacing w:after="40"/>
            </w:pPr>
            <w:r>
              <w:rPr>
                <w:rFonts w:ascii="Consolas" w:cs="Consolas" w:eastAsia="Consolas" w:hAnsi="Consolas"/>
                <w:color w:val="E5E7EB"/>
                <w:sz w:val="19"/>
                <w:szCs w:val="19"/>
              </w:rPr>
              <w:t xml:space="preserve">  let rate = S455_RATE_BANDS[0].ratePct;</w:t>
            </w:r>
          </w:p>
          <w:p>
            <w:pPr>
              <w:spacing w:after="40"/>
            </w:pPr>
            <w:r>
              <w:rPr>
                <w:rFonts w:ascii="Consolas" w:cs="Consolas" w:eastAsia="Consolas" w:hAnsi="Consolas"/>
                <w:color w:val="E5E7EB"/>
                <w:sz w:val="19"/>
                <w:szCs w:val="19"/>
              </w:rPr>
              <w:t xml:space="preserve">  for (const b of S455_RATE_BANDS) if (loanMadeOn &gt;= b.from) rate = b.ratePct;</w:t>
            </w:r>
          </w:p>
          <w:p>
            <w:pPr>
              <w:spacing w:after="40"/>
            </w:pPr>
            <w:r>
              <w:rPr>
                <w:rFonts w:ascii="Consolas" w:cs="Consolas" w:eastAsia="Consolas" w:hAnsi="Consolas"/>
                <w:color w:val="E5E7EB"/>
                <w:sz w:val="19"/>
                <w:szCs w:val="19"/>
              </w:rPr>
              <w:t xml:space="preserve">  return rate;</w:t>
            </w:r>
          </w:p>
          <w:p>
            <w:pPr>
              <w:spacing w:after="40"/>
            </w:pPr>
            <w:r>
              <w:rPr>
                <w:rFonts w:ascii="Consolas" w:cs="Consolas" w:eastAsia="Consolas" w:hAnsi="Consolas"/>
                <w:color w:val="E5E7EB"/>
                <w:sz w:val="19"/>
                <w:szCs w:val="19"/>
              </w:rPr>
              <w:t xml:space="preserve">}</w:t>
            </w:r>
          </w:p>
          <w:p>
            <w:pPr>
              <w:spacing w:after="40"/>
            </w:pPr>
            <w:r>
              <w:rPr>
                <w:rFonts w:ascii="Consolas" w:cs="Consolas" w:eastAsia="Consolas" w:hAnsi="Consolas"/>
                <w:color w:val="E5E7EB"/>
                <w:sz w:val="19"/>
                <w:szCs w:val="19"/>
              </w:rPr>
              <w:t xml:space="preserve"/>
            </w:r>
          </w:p>
          <w:p>
            <w:pPr>
              <w:spacing w:after="40"/>
            </w:pPr>
            <w:r>
              <w:rPr>
                <w:rFonts w:ascii="Consolas" w:cs="Consolas" w:eastAsia="Consolas" w:hAnsi="Consolas"/>
                <w:color w:val="E5E7EB"/>
                <w:sz w:val="19"/>
                <w:szCs w:val="19"/>
              </w:rPr>
              <w:t xml:space="preserve">// ---------- capital allowance parameters that depend on the period ----------</w:t>
            </w:r>
          </w:p>
          <w:p>
            <w:pPr>
              <w:spacing w:after="40"/>
            </w:pPr>
            <w:r>
              <w:rPr>
                <w:rFonts w:ascii="Consolas" w:cs="Consolas" w:eastAsia="Consolas" w:hAnsi="Consolas"/>
                <w:color w:val="E5E7EB"/>
                <w:sz w:val="19"/>
                <w:szCs w:val="19"/>
              </w:rPr>
              <w:t xml:space="preserve">export const MAIN_WDA_CHANGE_DATE = '2026-04-01'; // 18% -&gt; 14% for corporation tax, Rule 3.1.9a</w:t>
            </w:r>
          </w:p>
          <w:p>
            <w:pPr>
              <w:spacing w:after="40"/>
            </w:pPr>
            <w:r>
              <w:rPr>
                <w:rFonts w:ascii="Consolas" w:cs="Consolas" w:eastAsia="Consolas" w:hAnsi="Consolas"/>
                <w:color w:val="E5E7EB"/>
                <w:sz w:val="19"/>
                <w:szCs w:val="19"/>
              </w:rPr>
              <w:t xml:space="preserve">/** Hybrid main-pool WDA for a period straddling the change date, weighted by days (verify, VR-08). */</w:t>
            </w:r>
          </w:p>
          <w:p>
            <w:pPr>
              <w:spacing w:after="40"/>
            </w:pPr>
            <w:r>
              <w:rPr>
                <w:rFonts w:ascii="Consolas" w:cs="Consolas" w:eastAsia="Consolas" w:hAnsi="Consolas"/>
                <w:color w:val="E5E7EB"/>
                <w:sz w:val="19"/>
                <w:szCs w:val="19"/>
              </w:rPr>
              <w:t xml:space="preserve">export function mainPoolWdaRatePct(p: DateRange): number {</w:t>
            </w:r>
          </w:p>
          <w:p>
            <w:pPr>
              <w:spacing w:after="40"/>
            </w:pPr>
            <w:r>
              <w:rPr>
                <w:rFonts w:ascii="Consolas" w:cs="Consolas" w:eastAsia="Consolas" w:hAnsi="Consolas"/>
                <w:color w:val="E5E7EB"/>
                <w:sz w:val="19"/>
                <w:szCs w:val="19"/>
              </w:rPr>
              <w:t xml:space="preserve">  const total = daysInclusive(p.start, p.end);</w:t>
            </w:r>
          </w:p>
          <w:p>
            <w:pPr>
              <w:spacing w:after="40"/>
            </w:pPr>
            <w:r>
              <w:rPr>
                <w:rFonts w:ascii="Consolas" w:cs="Consolas" w:eastAsia="Consolas" w:hAnsi="Consolas"/>
                <w:color w:val="E5E7EB"/>
                <w:sz w:val="19"/>
                <w:szCs w:val="19"/>
              </w:rPr>
              <w:t xml:space="preserve">  if (p.end &lt; MAIN_WDA_CHANGE_DATE) return 18;</w:t>
            </w:r>
          </w:p>
          <w:p>
            <w:pPr>
              <w:spacing w:after="40"/>
            </w:pPr>
            <w:r>
              <w:rPr>
                <w:rFonts w:ascii="Consolas" w:cs="Consolas" w:eastAsia="Consolas" w:hAnsi="Consolas"/>
                <w:color w:val="E5E7EB"/>
                <w:sz w:val="19"/>
                <w:szCs w:val="19"/>
              </w:rPr>
              <w:t xml:space="preserve">  if (p.start &gt;= MAIN_WDA_CHANGE_DATE) return 14;</w:t>
            </w:r>
          </w:p>
          <w:p>
            <w:pPr>
              <w:spacing w:after="40"/>
            </w:pPr>
            <w:r>
              <w:rPr>
                <w:rFonts w:ascii="Consolas" w:cs="Consolas" w:eastAsia="Consolas" w:hAnsi="Consolas"/>
                <w:color w:val="E5E7EB"/>
                <w:sz w:val="19"/>
                <w:szCs w:val="19"/>
              </w:rPr>
              <w:t xml:space="preserve">  const before = daysInclusive(p.start, addDays(MAIN_WDA_CHANGE_DATE, -1));</w:t>
            </w:r>
          </w:p>
          <w:p>
            <w:pPr>
              <w:spacing w:after="40"/>
            </w:pPr>
            <w:r>
              <w:rPr>
                <w:rFonts w:ascii="Consolas" w:cs="Consolas" w:eastAsia="Consolas" w:hAnsi="Consolas"/>
                <w:color w:val="E5E7EB"/>
                <w:sz w:val="19"/>
                <w:szCs w:val="19"/>
              </w:rPr>
              <w:t xml:space="preserve">  return (before * 18 + (total - before) * 14) / total;</w:t>
            </w:r>
          </w:p>
          <w:p>
            <w:pPr>
              <w:spacing w:after="40"/>
            </w:pPr>
            <w:r>
              <w:rPr>
                <w:rFonts w:ascii="Consolas" w:cs="Consolas" w:eastAsia="Consolas" w:hAnsi="Consolas"/>
                <w:color w:val="E5E7EB"/>
                <w:sz w:val="19"/>
                <w:szCs w:val="19"/>
              </w:rPr>
              <w:t xml:space="preserve">}</w:t>
            </w:r>
          </w:p>
          <w:p>
            <w:pPr>
              <w:spacing w:after="40"/>
            </w:pPr>
            <w:r>
              <w:rPr>
                <w:rFonts w:ascii="Consolas" w:cs="Consolas" w:eastAsia="Consolas" w:hAnsi="Consolas"/>
                <w:color w:val="E5E7EB"/>
                <w:sz w:val="19"/>
                <w:szCs w:val="19"/>
              </w:rPr>
              <w:t xml:space="preserve"/>
            </w:r>
          </w:p>
          <w:p>
            <w:pPr>
              <w:spacing w:after="40"/>
            </w:pPr>
            <w:r>
              <w:rPr>
                <w:rFonts w:ascii="Consolas" w:cs="Consolas" w:eastAsia="Consolas" w:hAnsi="Consolas"/>
                <w:color w:val="E5E7EB"/>
                <w:sz w:val="19"/>
                <w:szCs w:val="19"/>
              </w:rPr>
              <w:t xml:space="preserve">// ---------- corporation tax ----------</w:t>
            </w:r>
          </w:p>
          <w:p>
            <w:pPr>
              <w:spacing w:after="40"/>
            </w:pPr>
            <w:r>
              <w:rPr>
                <w:rFonts w:ascii="Consolas" w:cs="Consolas" w:eastAsia="Consolas" w:hAnsi="Consolas"/>
                <w:color w:val="E5E7EB"/>
                <w:sz w:val="19"/>
                <w:szCs w:val="19"/>
              </w:rPr>
              <w:t xml:space="preserve">export interface DirectorLoan { id: string; madeOn: string; outstandingAtDueDatePence: Pence }</w:t>
            </w:r>
          </w:p>
          <w:p>
            <w:pPr>
              <w:spacing w:after="40"/>
            </w:pPr>
            <w:r>
              <w:rPr>
                <w:rFonts w:ascii="Consolas" w:cs="Consolas" w:eastAsia="Consolas" w:hAnsi="Consolas"/>
                <w:color w:val="E5E7EB"/>
                <w:sz w:val="19"/>
                <w:szCs w:val="19"/>
              </w:rPr>
              <w:t xml:space="preserve"/>
            </w:r>
          </w:p>
          <w:p>
            <w:pPr>
              <w:spacing w:after="40"/>
            </w:pPr>
            <w:r>
              <w:rPr>
                <w:rFonts w:ascii="Consolas" w:cs="Consolas" w:eastAsia="Consolas" w:hAnsi="Consolas"/>
                <w:color w:val="E5E7EB"/>
                <w:sz w:val="19"/>
                <w:szCs w:val="19"/>
              </w:rPr>
              <w:t xml:space="preserve">export interface PeriodInput {</w:t>
            </w:r>
          </w:p>
          <w:p>
            <w:pPr>
              <w:spacing w:after="40"/>
            </w:pPr>
            <w:r>
              <w:rPr>
                <w:rFonts w:ascii="Consolas" w:cs="Consolas" w:eastAsia="Consolas" w:hAnsi="Consolas"/>
                <w:color w:val="E5E7EB"/>
                <w:sz w:val="19"/>
                <w:szCs w:val="19"/>
              </w:rPr>
              <w:t xml:space="preserve">  period: DateRange;</w:t>
            </w:r>
          </w:p>
          <w:p>
            <w:pPr>
              <w:spacing w:after="40"/>
            </w:pPr>
            <w:r>
              <w:rPr>
                <w:rFonts w:ascii="Consolas" w:cs="Consolas" w:eastAsia="Consolas" w:hAnsi="Consolas"/>
                <w:color w:val="E5E7EB"/>
                <w:sz w:val="19"/>
                <w:szCs w:val="19"/>
              </w:rPr>
              <w:t xml:space="preserve">  daysInYearBasis: 365 | 366;            // limit scaling convention, VR-05</w:t>
            </w:r>
          </w:p>
          <w:p>
            <w:pPr>
              <w:spacing w:after="40"/>
            </w:pPr>
            <w:r>
              <w:rPr>
                <w:rFonts w:ascii="Consolas" w:cs="Consolas" w:eastAsia="Consolas" w:hAnsi="Consolas"/>
                <w:color w:val="E5E7EB"/>
                <w:sz w:val="19"/>
                <w:szCs w:val="19"/>
              </w:rPr>
              <w:t xml:space="preserve">  associatedCompanies: number;           // N, statutory count, not "other companies you own"</w:t>
            </w:r>
          </w:p>
          <w:p>
            <w:pPr>
              <w:spacing w:after="40"/>
            </w:pPr>
            <w:r>
              <w:rPr>
                <w:rFonts w:ascii="Consolas" w:cs="Consolas" w:eastAsia="Consolas" w:hAnsi="Consolas"/>
                <w:color w:val="E5E7EB"/>
                <w:sz w:val="19"/>
                <w:szCs w:val="19"/>
              </w:rPr>
              <w:t xml:space="preserve">  tradingProfitAfterAllowancesPence: Pence; // may be negative (a loss)</w:t>
            </w:r>
          </w:p>
          <w:p>
            <w:pPr>
              <w:spacing w:after="40"/>
            </w:pPr>
            <w:r>
              <w:rPr>
                <w:rFonts w:ascii="Consolas" w:cs="Consolas" w:eastAsia="Consolas" w:hAnsi="Consolas"/>
                <w:color w:val="E5E7EB"/>
                <w:sz w:val="19"/>
                <w:szCs w:val="19"/>
              </w:rPr>
              <w:t xml:space="preserve">  nonTradingIncomePence: Pence;          // e.g. bank interest; must be EXCLUDED from the trading figure</w:t>
            </w:r>
          </w:p>
          <w:p>
            <w:pPr>
              <w:spacing w:after="40"/>
            </w:pPr>
            <w:r>
              <w:rPr>
                <w:rFonts w:ascii="Consolas" w:cs="Consolas" w:eastAsia="Consolas" w:hAnsi="Consolas"/>
                <w:color w:val="E5E7EB"/>
                <w:sz w:val="19"/>
                <w:szCs w:val="19"/>
              </w:rPr>
              <w:t xml:space="preserve">  exemptDistributionsPence: Pence;       // non-group dividends, for augmented profits only</w:t>
            </w:r>
          </w:p>
          <w:p>
            <w:pPr>
              <w:spacing w:after="40"/>
            </w:pPr>
            <w:r>
              <w:rPr>
                <w:rFonts w:ascii="Consolas" w:cs="Consolas" w:eastAsia="Consolas" w:hAnsi="Consolas"/>
                <w:color w:val="E5E7EB"/>
                <w:sz w:val="19"/>
                <w:szCs w:val="19"/>
              </w:rPr>
              <w:t xml:space="preserve">  tradingLossesBroughtForwardPence: Pence; // post-1 April 2017 losses only in v1, see VR-20</w:t>
            </w:r>
          </w:p>
          <w:p>
            <w:pPr>
              <w:spacing w:after="40"/>
            </w:pPr>
            <w:r>
              <w:rPr>
                <w:rFonts w:ascii="Consolas" w:cs="Consolas" w:eastAsia="Consolas" w:hAnsi="Consolas"/>
                <w:color w:val="E5E7EB"/>
                <w:sz w:val="19"/>
                <w:szCs w:val="19"/>
              </w:rPr>
              <w:t xml:space="preserve">  setOffCurrentLossAgainstOtherProfits: boolean;</w:t>
            </w:r>
          </w:p>
          <w:p>
            <w:pPr>
              <w:spacing w:after="40"/>
            </w:pPr>
            <w:r>
              <w:rPr>
                <w:rFonts w:ascii="Consolas" w:cs="Consolas" w:eastAsia="Consolas" w:hAnsi="Consolas"/>
                <w:color w:val="E5E7EB"/>
                <w:sz w:val="19"/>
                <w:szCs w:val="19"/>
              </w:rPr>
              <w:t xml:space="preserve">  closeCompany: boolean;</w:t>
            </w:r>
          </w:p>
          <w:p>
            <w:pPr>
              <w:spacing w:after="40"/>
            </w:pPr>
            <w:r>
              <w:rPr>
                <w:rFonts w:ascii="Consolas" w:cs="Consolas" w:eastAsia="Consolas" w:hAnsi="Consolas"/>
                <w:color w:val="E5E7EB"/>
                <w:sz w:val="19"/>
                <w:szCs w:val="19"/>
              </w:rPr>
              <w:t xml:space="preserve">  directorLoans: DirectorLoan[];</w:t>
            </w:r>
          </w:p>
          <w:p>
            <w:pPr>
              <w:spacing w:after="40"/>
            </w:pPr>
            <w:r>
              <w:rPr>
                <w:rFonts w:ascii="Consolas" w:cs="Consolas" w:eastAsia="Consolas" w:hAnsi="Consolas"/>
                <w:color w:val="E5E7EB"/>
                <w:sz w:val="19"/>
                <w:szCs w:val="19"/>
              </w:rPr>
              <w:t xml:space="preserve">}</w:t>
            </w:r>
          </w:p>
          <w:p>
            <w:pPr>
              <w:spacing w:after="40"/>
            </w:pPr>
            <w:r>
              <w:rPr>
                <w:rFonts w:ascii="Consolas" w:cs="Consolas" w:eastAsia="Consolas" w:hAnsi="Consolas"/>
                <w:color w:val="E5E7EB"/>
                <w:sz w:val="19"/>
                <w:szCs w:val="19"/>
              </w:rPr>
              <w:t xml:space="preserve"/>
            </w:r>
          </w:p>
          <w:p>
            <w:pPr>
              <w:spacing w:after="40"/>
            </w:pPr>
            <w:r>
              <w:rPr>
                <w:rFonts w:ascii="Consolas" w:cs="Consolas" w:eastAsia="Consolas" w:hAnsi="Consolas"/>
                <w:color w:val="E5E7EB"/>
                <w:sz w:val="19"/>
                <w:szCs w:val="19"/>
              </w:rPr>
              <w:t xml:space="preserve">export interface PeriodResult {</w:t>
            </w:r>
          </w:p>
          <w:p>
            <w:pPr>
              <w:spacing w:after="40"/>
            </w:pPr>
            <w:r>
              <w:rPr>
                <w:rFonts w:ascii="Consolas" w:cs="Consolas" w:eastAsia="Consolas" w:hAnsi="Consolas"/>
                <w:color w:val="E5E7EB"/>
                <w:sz w:val="19"/>
                <w:szCs w:val="19"/>
              </w:rPr>
              <w:t xml:space="preserve">  days: number;</w:t>
            </w:r>
          </w:p>
          <w:p>
            <w:pPr>
              <w:spacing w:after="40"/>
            </w:pPr>
            <w:r>
              <w:rPr>
                <w:rFonts w:ascii="Consolas" w:cs="Consolas" w:eastAsia="Consolas" w:hAnsi="Consolas"/>
                <w:color w:val="E5E7EB"/>
                <w:sz w:val="19"/>
                <w:szCs w:val="19"/>
              </w:rPr>
              <w:t xml:space="preserve">  lowerLimitPence: number; upperLimitPence: number;</w:t>
            </w:r>
          </w:p>
          <w:p>
            <w:pPr>
              <w:spacing w:after="40"/>
            </w:pPr>
            <w:r>
              <w:rPr>
                <w:rFonts w:ascii="Consolas" w:cs="Consolas" w:eastAsia="Consolas" w:hAnsi="Consolas"/>
                <w:color w:val="E5E7EB"/>
                <w:sz w:val="19"/>
                <w:szCs w:val="19"/>
              </w:rPr>
              <w:t xml:space="preserve">  totalTaxableProfitsPence: Pence;</w:t>
            </w:r>
          </w:p>
          <w:p>
            <w:pPr>
              <w:spacing w:after="40"/>
            </w:pPr>
            <w:r>
              <w:rPr>
                <w:rFonts w:ascii="Consolas" w:cs="Consolas" w:eastAsia="Consolas" w:hAnsi="Consolas"/>
                <w:color w:val="E5E7EB"/>
                <w:sz w:val="19"/>
                <w:szCs w:val="19"/>
              </w:rPr>
              <w:t xml:space="preserve">  augmentedProfitsPence: Pence;</w:t>
            </w:r>
          </w:p>
          <w:p>
            <w:pPr>
              <w:spacing w:after="40"/>
            </w:pPr>
            <w:r>
              <w:rPr>
                <w:rFonts w:ascii="Consolas" w:cs="Consolas" w:eastAsia="Consolas" w:hAnsi="Consolas"/>
                <w:color w:val="E5E7EB"/>
                <w:sz w:val="19"/>
                <w:szCs w:val="19"/>
              </w:rPr>
              <w:t xml:space="preserve">  ctBeforeReliefPence: Pence; marginalReliefPence: Pence; corporationTaxPence: Pence;</w:t>
            </w:r>
          </w:p>
          <w:p>
            <w:pPr>
              <w:spacing w:after="40"/>
            </w:pPr>
            <w:r>
              <w:rPr>
                <w:rFonts w:ascii="Consolas" w:cs="Consolas" w:eastAsia="Consolas" w:hAnsi="Consolas"/>
                <w:color w:val="E5E7EB"/>
                <w:sz w:val="19"/>
                <w:szCs w:val="19"/>
              </w:rPr>
              <w:t xml:space="preserve">  s455TaxPence: Pence; s455Lines: { loanId: string; ratePct: number; taxPence: Pence }[];</w:t>
            </w:r>
          </w:p>
          <w:p>
            <w:pPr>
              <w:spacing w:after="40"/>
            </w:pPr>
            <w:r>
              <w:rPr>
                <w:rFonts w:ascii="Consolas" w:cs="Consolas" w:eastAsia="Consolas" w:hAnsi="Consolas"/>
                <w:color w:val="E5E7EB"/>
                <w:sz w:val="19"/>
                <w:szCs w:val="19"/>
              </w:rPr>
              <w:t xml:space="preserve">  lossesCarriedForwardPence: Pence;</w:t>
            </w:r>
          </w:p>
          <w:p>
            <w:pPr>
              <w:spacing w:after="40"/>
            </w:pPr>
            <w:r>
              <w:rPr>
                <w:rFonts w:ascii="Consolas" w:cs="Consolas" w:eastAsia="Consolas" w:hAnsi="Consolas"/>
                <w:color w:val="E5E7EB"/>
                <w:sz w:val="19"/>
                <w:szCs w:val="19"/>
              </w:rPr>
              <w:t xml:space="preserve">  warnings: string[];</w:t>
            </w:r>
          </w:p>
          <w:p>
            <w:pPr>
              <w:spacing w:after="40"/>
            </w:pPr>
            <w:r>
              <w:rPr>
                <w:rFonts w:ascii="Consolas" w:cs="Consolas" w:eastAsia="Consolas" w:hAnsi="Consolas"/>
                <w:color w:val="E5E7EB"/>
                <w:sz w:val="19"/>
                <w:szCs w:val="19"/>
              </w:rPr>
              <w:t xml:space="preserve">}</w:t>
            </w:r>
          </w:p>
          <w:p>
            <w:pPr>
              <w:spacing w:after="40"/>
            </w:pPr>
            <w:r>
              <w:rPr>
                <w:rFonts w:ascii="Consolas" w:cs="Consolas" w:eastAsia="Consolas" w:hAnsi="Consolas"/>
                <w:color w:val="E5E7EB"/>
                <w:sz w:val="19"/>
                <w:szCs w:val="19"/>
              </w:rPr>
              <w:t xml:space="preserve"/>
            </w:r>
          </w:p>
          <w:p>
            <w:pPr>
              <w:spacing w:after="40"/>
            </w:pPr>
            <w:r>
              <w:rPr>
                <w:rFonts w:ascii="Consolas" w:cs="Consolas" w:eastAsia="Consolas" w:hAnsi="Consolas"/>
                <w:color w:val="E5E7EB"/>
                <w:sz w:val="19"/>
                <w:szCs w:val="19"/>
              </w:rPr>
              <w:t xml:space="preserve">const roundP = (x: number): Pence =&gt; Math.round(x);</w:t>
            </w:r>
          </w:p>
          <w:p>
            <w:pPr>
              <w:spacing w:after="40"/>
            </w:pPr>
            <w:r>
              <w:rPr>
                <w:rFonts w:ascii="Consolas" w:cs="Consolas" w:eastAsia="Consolas" w:hAnsi="Consolas"/>
                <w:color w:val="E5E7EB"/>
                <w:sz w:val="19"/>
                <w:szCs w:val="19"/>
              </w:rPr>
              <w:t xml:space="preserve"/>
            </w:r>
          </w:p>
          <w:p>
            <w:pPr>
              <w:spacing w:after="40"/>
            </w:pPr>
            <w:r>
              <w:rPr>
                <w:rFonts w:ascii="Consolas" w:cs="Consolas" w:eastAsia="Consolas" w:hAnsi="Consolas"/>
                <w:color w:val="E5E7EB"/>
                <w:sz w:val="19"/>
                <w:szCs w:val="19"/>
              </w:rPr>
              <w:t xml:space="preserve">export function computePeriod(i: PeriodInput, rates: RateTable = RATES_FY2023_ONWARDS): PeriodResult {</w:t>
            </w:r>
          </w:p>
          <w:p>
            <w:pPr>
              <w:spacing w:after="40"/>
            </w:pPr>
            <w:r>
              <w:rPr>
                <w:rFonts w:ascii="Consolas" w:cs="Consolas" w:eastAsia="Consolas" w:hAnsi="Consolas"/>
                <w:color w:val="E5E7EB"/>
                <w:sz w:val="19"/>
                <w:szCs w:val="19"/>
              </w:rPr>
              <w:t xml:space="preserve">  const warnings: string[] = [];</w:t>
            </w:r>
          </w:p>
          <w:p>
            <w:pPr>
              <w:spacing w:after="40"/>
            </w:pPr>
            <w:r>
              <w:rPr>
                <w:rFonts w:ascii="Consolas" w:cs="Consolas" w:eastAsia="Consolas" w:hAnsi="Consolas"/>
                <w:color w:val="E5E7EB"/>
                <w:sz w:val="19"/>
                <w:szCs w:val="19"/>
              </w:rPr>
              <w:t xml:space="preserve">  for (const v of [i.tradingProfitAfterAllowancesPence, i.nonTradingIncomePence, i.exemptDistributionsPence,</w:t>
            </w:r>
          </w:p>
          <w:p>
            <w:pPr>
              <w:spacing w:after="40"/>
            </w:pPr>
            <w:r>
              <w:rPr>
                <w:rFonts w:ascii="Consolas" w:cs="Consolas" w:eastAsia="Consolas" w:hAnsi="Consolas"/>
                <w:color w:val="E5E7EB"/>
                <w:sz w:val="19"/>
                <w:szCs w:val="19"/>
              </w:rPr>
              <w:t xml:space="preserve">    i.tradingLossesBroughtForwardPence]) {</w:t>
            </w:r>
          </w:p>
          <w:p>
            <w:pPr>
              <w:spacing w:after="40"/>
            </w:pPr>
            <w:r>
              <w:rPr>
                <w:rFonts w:ascii="Consolas" w:cs="Consolas" w:eastAsia="Consolas" w:hAnsi="Consolas"/>
                <w:color w:val="E5E7EB"/>
                <w:sz w:val="19"/>
                <w:szCs w:val="19"/>
              </w:rPr>
              <w:t xml:space="preserve">    if (!Number.isSafeInteger(v)) throw new Error('Money must be integer pence');</w:t>
            </w:r>
          </w:p>
          <w:p>
            <w:pPr>
              <w:spacing w:after="40"/>
            </w:pPr>
            <w:r>
              <w:rPr>
                <w:rFonts w:ascii="Consolas" w:cs="Consolas" w:eastAsia="Consolas" w:hAnsi="Consolas"/>
                <w:color w:val="E5E7EB"/>
                <w:sz w:val="19"/>
                <w:szCs w:val="19"/>
              </w:rPr>
              <w:t xml:space="preserve">  }</w:t>
            </w:r>
          </w:p>
          <w:p>
            <w:pPr>
              <w:spacing w:after="40"/>
            </w:pPr>
            <w:r>
              <w:rPr>
                <w:rFonts w:ascii="Consolas" w:cs="Consolas" w:eastAsia="Consolas" w:hAnsi="Consolas"/>
                <w:color w:val="E5E7EB"/>
                <w:sz w:val="19"/>
                <w:szCs w:val="19"/>
              </w:rPr>
              <w:t xml:space="preserve">  if (i.associatedCompanies &lt; 0 || !Number.isInteger(i.associatedCompanies)) throw new Error('Invalid N');</w:t>
            </w:r>
          </w:p>
          <w:p>
            <w:pPr>
              <w:spacing w:after="40"/>
            </w:pPr>
            <w:r>
              <w:rPr>
                <w:rFonts w:ascii="Consolas" w:cs="Consolas" w:eastAsia="Consolas" w:hAnsi="Consolas"/>
                <w:color w:val="E5E7EB"/>
                <w:sz w:val="19"/>
                <w:szCs w:val="19"/>
              </w:rPr>
              <w:t xml:space="preserve"/>
            </w:r>
          </w:p>
          <w:p>
            <w:pPr>
              <w:spacing w:after="40"/>
            </w:pPr>
            <w:r>
              <w:rPr>
                <w:rFonts w:ascii="Consolas" w:cs="Consolas" w:eastAsia="Consolas" w:hAnsi="Consolas"/>
                <w:color w:val="E5E7EB"/>
                <w:sz w:val="19"/>
                <w:szCs w:val="19"/>
              </w:rPr>
              <w:t xml:space="preserve">  const days = daysInclusive(i.period.start, i.period.end);</w:t>
            </w:r>
          </w:p>
          <w:p>
            <w:pPr>
              <w:spacing w:after="40"/>
            </w:pPr>
            <w:r>
              <w:rPr>
                <w:rFonts w:ascii="Consolas" w:cs="Consolas" w:eastAsia="Consolas" w:hAnsi="Consolas"/>
                <w:color w:val="E5E7EB"/>
                <w:sz w:val="19"/>
                <w:szCs w:val="19"/>
              </w:rPr>
              <w:t xml:space="preserve">  if (days &gt; 366) throw new Error('Accounting period exceeds 12 months: split it first');</w:t>
            </w:r>
          </w:p>
          <w:p>
            <w:pPr>
              <w:spacing w:after="40"/>
            </w:pPr>
            <w:r>
              <w:rPr>
                <w:rFonts w:ascii="Consolas" w:cs="Consolas" w:eastAsia="Consolas" w:hAnsi="Consolas"/>
                <w:color w:val="E5E7EB"/>
                <w:sz w:val="19"/>
                <w:szCs w:val="19"/>
              </w:rPr>
              <w:t xml:space="preserve"/>
            </w:r>
          </w:p>
          <w:p>
            <w:pPr>
              <w:spacing w:after="40"/>
            </w:pPr>
            <w:r>
              <w:rPr>
                <w:rFonts w:ascii="Consolas" w:cs="Consolas" w:eastAsia="Consolas" w:hAnsi="Consolas"/>
                <w:color w:val="E5E7EB"/>
                <w:sz w:val="19"/>
                <w:szCs w:val="19"/>
              </w:rPr>
              <w:t xml:space="preserve">  // 1. Losses. Brought-forward losses are never discarded.</w:t>
            </w:r>
          </w:p>
          <w:p>
            <w:pPr>
              <w:spacing w:after="40"/>
            </w:pPr>
            <w:r>
              <w:rPr>
                <w:rFonts w:ascii="Consolas" w:cs="Consolas" w:eastAsia="Consolas" w:hAnsi="Consolas"/>
                <w:color w:val="E5E7EB"/>
                <w:sz w:val="19"/>
                <w:szCs w:val="19"/>
              </w:rPr>
              <w:t xml:space="preserve">  let trading = i.tradingProfitAfterAllowancesPence;</w:t>
            </w:r>
          </w:p>
          <w:p>
            <w:pPr>
              <w:spacing w:after="40"/>
            </w:pPr>
            <w:r>
              <w:rPr>
                <w:rFonts w:ascii="Consolas" w:cs="Consolas" w:eastAsia="Consolas" w:hAnsi="Consolas"/>
                <w:color w:val="E5E7EB"/>
                <w:sz w:val="19"/>
                <w:szCs w:val="19"/>
              </w:rPr>
              <w:t xml:space="preserve">  let lossCF = i.tradingLossesBroughtForwardPence;</w:t>
            </w:r>
          </w:p>
          <w:p>
            <w:pPr>
              <w:spacing w:after="40"/>
            </w:pPr>
            <w:r>
              <w:rPr>
                <w:rFonts w:ascii="Consolas" w:cs="Consolas" w:eastAsia="Consolas" w:hAnsi="Consolas"/>
                <w:color w:val="E5E7EB"/>
                <w:sz w:val="19"/>
                <w:szCs w:val="19"/>
              </w:rPr>
              <w:t xml:space="preserve">  let other = i.nonTradingIncomePence;</w:t>
            </w:r>
          </w:p>
          <w:p>
            <w:pPr>
              <w:spacing w:after="40"/>
            </w:pPr>
            <w:r>
              <w:rPr>
                <w:rFonts w:ascii="Consolas" w:cs="Consolas" w:eastAsia="Consolas" w:hAnsi="Consolas"/>
                <w:color w:val="E5E7EB"/>
                <w:sz w:val="19"/>
                <w:szCs w:val="19"/>
              </w:rPr>
              <w:t xml:space="preserve">  if (trading &lt; 0) {</w:t>
            </w:r>
          </w:p>
          <w:p>
            <w:pPr>
              <w:spacing w:after="40"/>
            </w:pPr>
            <w:r>
              <w:rPr>
                <w:rFonts w:ascii="Consolas" w:cs="Consolas" w:eastAsia="Consolas" w:hAnsi="Consolas"/>
                <w:color w:val="E5E7EB"/>
                <w:sz w:val="19"/>
                <w:szCs w:val="19"/>
              </w:rPr>
              <w:t xml:space="preserve">    const currentLoss = -trading;</w:t>
            </w:r>
          </w:p>
          <w:p>
            <w:pPr>
              <w:spacing w:after="40"/>
            </w:pPr>
            <w:r>
              <w:rPr>
                <w:rFonts w:ascii="Consolas" w:cs="Consolas" w:eastAsia="Consolas" w:hAnsi="Consolas"/>
                <w:color w:val="E5E7EB"/>
                <w:sz w:val="19"/>
                <w:szCs w:val="19"/>
              </w:rPr>
              <w:t xml:space="preserve">    if (i.setOffCurrentLossAgainstOtherProfits &amp;&amp; other &gt; 0) {</w:t>
            </w:r>
          </w:p>
          <w:p>
            <w:pPr>
              <w:spacing w:after="40"/>
            </w:pPr>
            <w:r>
              <w:rPr>
                <w:rFonts w:ascii="Consolas" w:cs="Consolas" w:eastAsia="Consolas" w:hAnsi="Consolas"/>
                <w:color w:val="E5E7EB"/>
                <w:sz w:val="19"/>
                <w:szCs w:val="19"/>
              </w:rPr>
              <w:t xml:space="preserve">      const used = Math.min(currentLoss, other);</w:t>
            </w:r>
          </w:p>
          <w:p>
            <w:pPr>
              <w:spacing w:after="40"/>
            </w:pPr>
            <w:r>
              <w:rPr>
                <w:rFonts w:ascii="Consolas" w:cs="Consolas" w:eastAsia="Consolas" w:hAnsi="Consolas"/>
                <w:color w:val="E5E7EB"/>
                <w:sz w:val="19"/>
                <w:szCs w:val="19"/>
              </w:rPr>
              <w:t xml:space="preserve">      other -= used;</w:t>
            </w:r>
          </w:p>
          <w:p>
            <w:pPr>
              <w:spacing w:after="40"/>
            </w:pPr>
            <w:r>
              <w:rPr>
                <w:rFonts w:ascii="Consolas" w:cs="Consolas" w:eastAsia="Consolas" w:hAnsi="Consolas"/>
                <w:color w:val="E5E7EB"/>
                <w:sz w:val="19"/>
                <w:szCs w:val="19"/>
              </w:rPr>
              <w:t xml:space="preserve">      lossCF += currentLoss - used;</w:t>
            </w:r>
          </w:p>
          <w:p>
            <w:pPr>
              <w:spacing w:after="40"/>
            </w:pPr>
            <w:r>
              <w:rPr>
                <w:rFonts w:ascii="Consolas" w:cs="Consolas" w:eastAsia="Consolas" w:hAnsi="Consolas"/>
                <w:color w:val="E5E7EB"/>
                <w:sz w:val="19"/>
                <w:szCs w:val="19"/>
              </w:rPr>
              <w:t xml:space="preserve">    } else {</w:t>
            </w:r>
          </w:p>
          <w:p>
            <w:pPr>
              <w:spacing w:after="40"/>
            </w:pPr>
            <w:r>
              <w:rPr>
                <w:rFonts w:ascii="Consolas" w:cs="Consolas" w:eastAsia="Consolas" w:hAnsi="Consolas"/>
                <w:color w:val="E5E7EB"/>
                <w:sz w:val="19"/>
                <w:szCs w:val="19"/>
              </w:rPr>
              <w:t xml:space="preserve">      lossCF += currentLoss;</w:t>
            </w:r>
          </w:p>
          <w:p>
            <w:pPr>
              <w:spacing w:after="40"/>
            </w:pPr>
            <w:r>
              <w:rPr>
                <w:rFonts w:ascii="Consolas" w:cs="Consolas" w:eastAsia="Consolas" w:hAnsi="Consolas"/>
                <w:color w:val="E5E7EB"/>
                <w:sz w:val="19"/>
                <w:szCs w:val="19"/>
              </w:rPr>
              <w:t xml:space="preserve">    }</w:t>
            </w:r>
          </w:p>
          <w:p>
            <w:pPr>
              <w:spacing w:after="40"/>
            </w:pPr>
            <w:r>
              <w:rPr>
                <w:rFonts w:ascii="Consolas" w:cs="Consolas" w:eastAsia="Consolas" w:hAnsi="Consolas"/>
                <w:color w:val="E5E7EB"/>
                <w:sz w:val="19"/>
                <w:szCs w:val="19"/>
              </w:rPr>
              <w:t xml:space="preserve">    trading = 0;</w:t>
            </w:r>
          </w:p>
          <w:p>
            <w:pPr>
              <w:spacing w:after="40"/>
            </w:pPr>
            <w:r>
              <w:rPr>
                <w:rFonts w:ascii="Consolas" w:cs="Consolas" w:eastAsia="Consolas" w:hAnsi="Consolas"/>
                <w:color w:val="E5E7EB"/>
                <w:sz w:val="19"/>
                <w:szCs w:val="19"/>
              </w:rPr>
              <w:t xml:space="preserve">  }</w:t>
            </w:r>
          </w:p>
          <w:p>
            <w:pPr>
              <w:spacing w:after="40"/>
            </w:pPr>
            <w:r>
              <w:rPr>
                <w:rFonts w:ascii="Consolas" w:cs="Consolas" w:eastAsia="Consolas" w:hAnsi="Consolas"/>
                <w:color w:val="E5E7EB"/>
                <w:sz w:val="19"/>
                <w:szCs w:val="19"/>
              </w:rPr>
              <w:t xml:space="preserve">  let ttp = trading + other;</w:t>
            </w:r>
          </w:p>
          <w:p>
            <w:pPr>
              <w:spacing w:after="40"/>
            </w:pPr>
            <w:r>
              <w:rPr>
                <w:rFonts w:ascii="Consolas" w:cs="Consolas" w:eastAsia="Consolas" w:hAnsi="Consolas"/>
                <w:color w:val="E5E7EB"/>
                <w:sz w:val="19"/>
                <w:szCs w:val="19"/>
              </w:rPr>
              <w:t xml:space="preserve">  // Only brought-forward losses are set against this period's profits; the current-period</w:t>
            </w:r>
          </w:p>
          <w:p>
            <w:pPr>
              <w:spacing w:after="40"/>
            </w:pPr>
            <w:r>
              <w:rPr>
                <w:rFonts w:ascii="Consolas" w:cs="Consolas" w:eastAsia="Consolas" w:hAnsi="Consolas"/>
                <w:color w:val="E5E7EB"/>
                <w:sz w:val="19"/>
                <w:szCs w:val="19"/>
              </w:rPr>
              <w:t xml:space="preserve">  // unrelieved loss is carried forward as well and is never consumed in the same period.</w:t>
            </w:r>
          </w:p>
          <w:p>
            <w:pPr>
              <w:spacing w:after="40"/>
            </w:pPr>
            <w:r>
              <w:rPr>
                <w:rFonts w:ascii="Consolas" w:cs="Consolas" w:eastAsia="Consolas" w:hAnsi="Consolas"/>
                <w:color w:val="E5E7EB"/>
                <w:sz w:val="19"/>
                <w:szCs w:val="19"/>
              </w:rPr>
              <w:t xml:space="preserve">  const usedBroughtForward = Math.min(i.tradingLossesBroughtForwardPence, ttp);</w:t>
            </w:r>
          </w:p>
          <w:p>
            <w:pPr>
              <w:spacing w:after="40"/>
            </w:pPr>
            <w:r>
              <w:rPr>
                <w:rFonts w:ascii="Consolas" w:cs="Consolas" w:eastAsia="Consolas" w:hAnsi="Consolas"/>
                <w:color w:val="E5E7EB"/>
                <w:sz w:val="19"/>
                <w:szCs w:val="19"/>
              </w:rPr>
              <w:t xml:space="preserve">  ttp -= usedBroughtForward;</w:t>
            </w:r>
          </w:p>
          <w:p>
            <w:pPr>
              <w:spacing w:after="40"/>
            </w:pPr>
            <w:r>
              <w:rPr>
                <w:rFonts w:ascii="Consolas" w:cs="Consolas" w:eastAsia="Consolas" w:hAnsi="Consolas"/>
                <w:color w:val="E5E7EB"/>
                <w:sz w:val="19"/>
                <w:szCs w:val="19"/>
              </w:rPr>
              <w:t xml:space="preserve">  lossCF -= usedBroughtForward;</w:t>
            </w:r>
          </w:p>
          <w:p>
            <w:pPr>
              <w:spacing w:after="40"/>
            </w:pPr>
            <w:r>
              <w:rPr>
                <w:rFonts w:ascii="Consolas" w:cs="Consolas" w:eastAsia="Consolas" w:hAnsi="Consolas"/>
                <w:color w:val="E5E7EB"/>
                <w:sz w:val="19"/>
                <w:szCs w:val="19"/>
              </w:rPr>
              <w:t xml:space="preserve">  if (lossCF &gt; 5_000_000_00) warnings.push('Losses exceed the deductions allowance: restriction not modelled, route to manual review');</w:t>
            </w:r>
          </w:p>
          <w:p>
            <w:pPr>
              <w:spacing w:after="40"/>
            </w:pPr>
            <w:r>
              <w:rPr>
                <w:rFonts w:ascii="Consolas" w:cs="Consolas" w:eastAsia="Consolas" w:hAnsi="Consolas"/>
                <w:color w:val="E5E7EB"/>
                <w:sz w:val="19"/>
                <w:szCs w:val="19"/>
              </w:rPr>
              <w:t xml:space="preserve"/>
            </w:r>
          </w:p>
          <w:p>
            <w:pPr>
              <w:spacing w:after="40"/>
            </w:pPr>
            <w:r>
              <w:rPr>
                <w:rFonts w:ascii="Consolas" w:cs="Consolas" w:eastAsia="Consolas" w:hAnsi="Consolas"/>
                <w:color w:val="E5E7EB"/>
                <w:sz w:val="19"/>
                <w:szCs w:val="19"/>
              </w:rPr>
              <w:t xml:space="preserve">  const augmented = ttp + i.exemptDistributionsPence;</w:t>
            </w:r>
          </w:p>
          <w:p>
            <w:pPr>
              <w:spacing w:after="40"/>
            </w:pPr>
            <w:r>
              <w:rPr>
                <w:rFonts w:ascii="Consolas" w:cs="Consolas" w:eastAsia="Consolas" w:hAnsi="Consolas"/>
                <w:color w:val="E5E7EB"/>
                <w:sz w:val="19"/>
                <w:szCs w:val="19"/>
              </w:rPr>
              <w:t xml:space="preserve"/>
            </w:r>
          </w:p>
          <w:p>
            <w:pPr>
              <w:spacing w:after="40"/>
            </w:pPr>
            <w:r>
              <w:rPr>
                <w:rFonts w:ascii="Consolas" w:cs="Consolas" w:eastAsia="Consolas" w:hAnsi="Consolas"/>
                <w:color w:val="E5E7EB"/>
                <w:sz w:val="19"/>
                <w:szCs w:val="19"/>
              </w:rPr>
              <w:t xml:space="preserve">  // 2. Thresholds: scaled for period length, then divided by (N + 1).</w:t>
            </w:r>
          </w:p>
          <w:p>
            <w:pPr>
              <w:spacing w:after="40"/>
            </w:pPr>
            <w:r>
              <w:rPr>
                <w:rFonts w:ascii="Consolas" w:cs="Consolas" w:eastAsia="Consolas" w:hAnsi="Consolas"/>
                <w:color w:val="E5E7EB"/>
                <w:sz w:val="19"/>
                <w:szCs w:val="19"/>
              </w:rPr>
              <w:t xml:space="preserve">  const scale = Math.min(1, days / i.daysInYearBasis);</w:t>
            </w:r>
          </w:p>
          <w:p>
            <w:pPr>
              <w:spacing w:after="40"/>
            </w:pPr>
            <w:r>
              <w:rPr>
                <w:rFonts w:ascii="Consolas" w:cs="Consolas" w:eastAsia="Consolas" w:hAnsi="Consolas"/>
                <w:color w:val="E5E7EB"/>
                <w:sz w:val="19"/>
                <w:szCs w:val="19"/>
              </w:rPr>
              <w:t xml:space="preserve">  const divisor = i.associatedCompanies + 1;</w:t>
            </w:r>
          </w:p>
          <w:p>
            <w:pPr>
              <w:spacing w:after="40"/>
            </w:pPr>
            <w:r>
              <w:rPr>
                <w:rFonts w:ascii="Consolas" w:cs="Consolas" w:eastAsia="Consolas" w:hAnsi="Consolas"/>
                <w:color w:val="E5E7EB"/>
                <w:sz w:val="19"/>
                <w:szCs w:val="19"/>
              </w:rPr>
              <w:t xml:space="preserve">  const L = (rates.smallProfitsLimitPence * scale) / divisor;</w:t>
            </w:r>
          </w:p>
          <w:p>
            <w:pPr>
              <w:spacing w:after="40"/>
            </w:pPr>
            <w:r>
              <w:rPr>
                <w:rFonts w:ascii="Consolas" w:cs="Consolas" w:eastAsia="Consolas" w:hAnsi="Consolas"/>
                <w:color w:val="E5E7EB"/>
                <w:sz w:val="19"/>
                <w:szCs w:val="19"/>
              </w:rPr>
              <w:t xml:space="preserve">  const U = (rates.upperLimitPence * scale) / divisor;</w:t>
            </w:r>
          </w:p>
          <w:p>
            <w:pPr>
              <w:spacing w:after="40"/>
            </w:pPr>
            <w:r>
              <w:rPr>
                <w:rFonts w:ascii="Consolas" w:cs="Consolas" w:eastAsia="Consolas" w:hAnsi="Consolas"/>
                <w:color w:val="E5E7EB"/>
                <w:sz w:val="19"/>
                <w:szCs w:val="19"/>
              </w:rPr>
              <w:t xml:space="preserve"/>
            </w:r>
          </w:p>
          <w:p>
            <w:pPr>
              <w:spacing w:after="40"/>
            </w:pPr>
            <w:r>
              <w:rPr>
                <w:rFonts w:ascii="Consolas" w:cs="Consolas" w:eastAsia="Consolas" w:hAnsi="Consolas"/>
                <w:color w:val="E5E7EB"/>
                <w:sz w:val="19"/>
                <w:szCs w:val="19"/>
              </w:rPr>
              <w:t xml:space="preserve">  // 3. Tax with marginal relief. Computed in exact floats then rounded once.</w:t>
            </w:r>
          </w:p>
          <w:p>
            <w:pPr>
              <w:spacing w:after="40"/>
            </w:pPr>
            <w:r>
              <w:rPr>
                <w:rFonts w:ascii="Consolas" w:cs="Consolas" w:eastAsia="Consolas" w:hAnsi="Consolas"/>
                <w:color w:val="E5E7EB"/>
                <w:sz w:val="19"/>
                <w:szCs w:val="19"/>
              </w:rPr>
              <w:t xml:space="preserve">  let ctBefore = 0, mr = 0, ct = 0;</w:t>
            </w:r>
          </w:p>
          <w:p>
            <w:pPr>
              <w:spacing w:after="40"/>
            </w:pPr>
            <w:r>
              <w:rPr>
                <w:rFonts w:ascii="Consolas" w:cs="Consolas" w:eastAsia="Consolas" w:hAnsi="Consolas"/>
                <w:color w:val="E5E7EB"/>
                <w:sz w:val="19"/>
                <w:szCs w:val="19"/>
              </w:rPr>
              <w:t xml:space="preserve">  if (ttp &gt; 0) {</w:t>
            </w:r>
          </w:p>
          <w:p>
            <w:pPr>
              <w:spacing w:after="40"/>
            </w:pPr>
            <w:r>
              <w:rPr>
                <w:rFonts w:ascii="Consolas" w:cs="Consolas" w:eastAsia="Consolas" w:hAnsi="Consolas"/>
                <w:color w:val="E5E7EB"/>
                <w:sz w:val="19"/>
                <w:szCs w:val="19"/>
              </w:rPr>
              <w:t xml:space="preserve">    if (augmented &lt;= L) {</w:t>
            </w:r>
          </w:p>
          <w:p>
            <w:pPr>
              <w:spacing w:after="40"/>
            </w:pPr>
            <w:r>
              <w:rPr>
                <w:rFonts w:ascii="Consolas" w:cs="Consolas" w:eastAsia="Consolas" w:hAnsi="Consolas"/>
                <w:color w:val="E5E7EB"/>
                <w:sz w:val="19"/>
                <w:szCs w:val="19"/>
              </w:rPr>
              <w:t xml:space="preserve">      ct = roundP((ttp * rates.smallRateNum) / rates.smallRateDen);</w:t>
            </w:r>
          </w:p>
          <w:p>
            <w:pPr>
              <w:spacing w:after="40"/>
            </w:pPr>
            <w:r>
              <w:rPr>
                <w:rFonts w:ascii="Consolas" w:cs="Consolas" w:eastAsia="Consolas" w:hAnsi="Consolas"/>
                <w:color w:val="E5E7EB"/>
                <w:sz w:val="19"/>
                <w:szCs w:val="19"/>
              </w:rPr>
              <w:t xml:space="preserve">      ctBefore = ct;</w:t>
            </w:r>
          </w:p>
          <w:p>
            <w:pPr>
              <w:spacing w:after="40"/>
            </w:pPr>
            <w:r>
              <w:rPr>
                <w:rFonts w:ascii="Consolas" w:cs="Consolas" w:eastAsia="Consolas" w:hAnsi="Consolas"/>
                <w:color w:val="E5E7EB"/>
                <w:sz w:val="19"/>
                <w:szCs w:val="19"/>
              </w:rPr>
              <w:t xml:space="preserve">    } else if (augmented &gt;= U) {</w:t>
            </w:r>
          </w:p>
          <w:p>
            <w:pPr>
              <w:spacing w:after="40"/>
            </w:pPr>
            <w:r>
              <w:rPr>
                <w:rFonts w:ascii="Consolas" w:cs="Consolas" w:eastAsia="Consolas" w:hAnsi="Consolas"/>
                <w:color w:val="E5E7EB"/>
                <w:sz w:val="19"/>
                <w:szCs w:val="19"/>
              </w:rPr>
              <w:t xml:space="preserve">      ct = roundP((ttp * rates.mainRateNum) / rates.mainRateDen);</w:t>
            </w:r>
          </w:p>
          <w:p>
            <w:pPr>
              <w:spacing w:after="40"/>
            </w:pPr>
            <w:r>
              <w:rPr>
                <w:rFonts w:ascii="Consolas" w:cs="Consolas" w:eastAsia="Consolas" w:hAnsi="Consolas"/>
                <w:color w:val="E5E7EB"/>
                <w:sz w:val="19"/>
                <w:szCs w:val="19"/>
              </w:rPr>
              <w:t xml:space="preserve">      ctBefore = ct;</w:t>
            </w:r>
          </w:p>
          <w:p>
            <w:pPr>
              <w:spacing w:after="40"/>
            </w:pPr>
            <w:r>
              <w:rPr>
                <w:rFonts w:ascii="Consolas" w:cs="Consolas" w:eastAsia="Consolas" w:hAnsi="Consolas"/>
                <w:color w:val="E5E7EB"/>
                <w:sz w:val="19"/>
                <w:szCs w:val="19"/>
              </w:rPr>
              <w:t xml:space="preserve">    } else {</w:t>
            </w:r>
          </w:p>
          <w:p>
            <w:pPr>
              <w:spacing w:after="40"/>
            </w:pPr>
            <w:r>
              <w:rPr>
                <w:rFonts w:ascii="Consolas" w:cs="Consolas" w:eastAsia="Consolas" w:hAnsi="Consolas"/>
                <w:color w:val="E5E7EB"/>
                <w:sz w:val="19"/>
                <w:szCs w:val="19"/>
              </w:rPr>
              <w:t xml:space="preserve">      ctBefore = roundP((ttp * rates.mainRateNum) / rates.mainRateDen);</w:t>
            </w:r>
          </w:p>
          <w:p>
            <w:pPr>
              <w:spacing w:after="40"/>
            </w:pPr>
            <w:r>
              <w:rPr>
                <w:rFonts w:ascii="Consolas" w:cs="Consolas" w:eastAsia="Consolas" w:hAnsi="Consolas"/>
                <w:color w:val="E5E7EB"/>
                <w:sz w:val="19"/>
                <w:szCs w:val="19"/>
              </w:rPr>
              <w:t xml:space="preserve">      mr = roundP((rates.marginalFractionNum * (U - augmented) * ttp) / (rates.marginalFractionDen * augmented));</w:t>
            </w:r>
          </w:p>
          <w:p>
            <w:pPr>
              <w:spacing w:after="40"/>
            </w:pPr>
            <w:r>
              <w:rPr>
                <w:rFonts w:ascii="Consolas" w:cs="Consolas" w:eastAsia="Consolas" w:hAnsi="Consolas"/>
                <w:color w:val="E5E7EB"/>
                <w:sz w:val="19"/>
                <w:szCs w:val="19"/>
              </w:rPr>
              <w:t xml:space="preserve">      ct = ctBefore - mr;</w:t>
            </w:r>
          </w:p>
          <w:p>
            <w:pPr>
              <w:spacing w:after="40"/>
            </w:pPr>
            <w:r>
              <w:rPr>
                <w:rFonts w:ascii="Consolas" w:cs="Consolas" w:eastAsia="Consolas" w:hAnsi="Consolas"/>
                <w:color w:val="E5E7EB"/>
                <w:sz w:val="19"/>
                <w:szCs w:val="19"/>
              </w:rPr>
              <w:t xml:space="preserve">    }</w:t>
            </w:r>
          </w:p>
          <w:p>
            <w:pPr>
              <w:spacing w:after="40"/>
            </w:pPr>
            <w:r>
              <w:rPr>
                <w:rFonts w:ascii="Consolas" w:cs="Consolas" w:eastAsia="Consolas" w:hAnsi="Consolas"/>
                <w:color w:val="E5E7EB"/>
                <w:sz w:val="19"/>
                <w:szCs w:val="19"/>
              </w:rPr>
              <w:t xml:space="preserve">  }</w:t>
            </w:r>
          </w:p>
          <w:p>
            <w:pPr>
              <w:spacing w:after="40"/>
            </w:pPr>
            <w:r>
              <w:rPr>
                <w:rFonts w:ascii="Consolas" w:cs="Consolas" w:eastAsia="Consolas" w:hAnsi="Consolas"/>
                <w:color w:val="E5E7EB"/>
                <w:sz w:val="19"/>
                <w:szCs w:val="19"/>
              </w:rPr>
              <w:t xml:space="preserve"/>
            </w:r>
          </w:p>
          <w:p>
            <w:pPr>
              <w:spacing w:after="40"/>
            </w:pPr>
            <w:r>
              <w:rPr>
                <w:rFonts w:ascii="Consolas" w:cs="Consolas" w:eastAsia="Consolas" w:hAnsi="Consolas"/>
                <w:color w:val="E5E7EB"/>
                <w:sz w:val="19"/>
                <w:szCs w:val="19"/>
              </w:rPr>
              <w:t xml:space="preserve">  // 4. s455, loan by loan, at the rate for the date each loan was made.</w:t>
            </w:r>
          </w:p>
          <w:p>
            <w:pPr>
              <w:spacing w:after="40"/>
            </w:pPr>
            <w:r>
              <w:rPr>
                <w:rFonts w:ascii="Consolas" w:cs="Consolas" w:eastAsia="Consolas" w:hAnsi="Consolas"/>
                <w:color w:val="E5E7EB"/>
                <w:sz w:val="19"/>
                <w:szCs w:val="19"/>
              </w:rPr>
              <w:t xml:space="preserve">  const s455Lines = [];</w:t>
            </w:r>
          </w:p>
          <w:p>
            <w:pPr>
              <w:spacing w:after="40"/>
            </w:pPr>
            <w:r>
              <w:rPr>
                <w:rFonts w:ascii="Consolas" w:cs="Consolas" w:eastAsia="Consolas" w:hAnsi="Consolas"/>
                <w:color w:val="E5E7EB"/>
                <w:sz w:val="19"/>
                <w:szCs w:val="19"/>
              </w:rPr>
              <w:t xml:space="preserve">  let s455 = 0;</w:t>
            </w:r>
          </w:p>
          <w:p>
            <w:pPr>
              <w:spacing w:after="40"/>
            </w:pPr>
            <w:r>
              <w:rPr>
                <w:rFonts w:ascii="Consolas" w:cs="Consolas" w:eastAsia="Consolas" w:hAnsi="Consolas"/>
                <w:color w:val="E5E7EB"/>
                <w:sz w:val="19"/>
                <w:szCs w:val="19"/>
              </w:rPr>
              <w:t xml:space="preserve">  if (i.directorLoans.length &amp;&amp; !i.closeCompany) {</w:t>
            </w:r>
          </w:p>
          <w:p>
            <w:pPr>
              <w:spacing w:after="40"/>
            </w:pPr>
            <w:r>
              <w:rPr>
                <w:rFonts w:ascii="Consolas" w:cs="Consolas" w:eastAsia="Consolas" w:hAnsi="Consolas"/>
                <w:color w:val="E5E7EB"/>
                <w:sz w:val="19"/>
                <w:szCs w:val="19"/>
              </w:rPr>
              <w:t xml:space="preserve">    warnings.push('s455 applies to close companies only: no charge computed');</w:t>
            </w:r>
          </w:p>
          <w:p>
            <w:pPr>
              <w:spacing w:after="40"/>
            </w:pPr>
            <w:r>
              <w:rPr>
                <w:rFonts w:ascii="Consolas" w:cs="Consolas" w:eastAsia="Consolas" w:hAnsi="Consolas"/>
                <w:color w:val="E5E7EB"/>
                <w:sz w:val="19"/>
                <w:szCs w:val="19"/>
              </w:rPr>
              <w:t xml:space="preserve">  } else {</w:t>
            </w:r>
          </w:p>
          <w:p>
            <w:pPr>
              <w:spacing w:after="40"/>
            </w:pPr>
            <w:r>
              <w:rPr>
                <w:rFonts w:ascii="Consolas" w:cs="Consolas" w:eastAsia="Consolas" w:hAnsi="Consolas"/>
                <w:color w:val="E5E7EB"/>
                <w:sz w:val="19"/>
                <w:szCs w:val="19"/>
              </w:rPr>
              <w:t xml:space="preserve">    for (const l of i.directorLoans) {</w:t>
            </w:r>
          </w:p>
          <w:p>
            <w:pPr>
              <w:spacing w:after="40"/>
            </w:pPr>
            <w:r>
              <w:rPr>
                <w:rFonts w:ascii="Consolas" w:cs="Consolas" w:eastAsia="Consolas" w:hAnsi="Consolas"/>
                <w:color w:val="E5E7EB"/>
                <w:sz w:val="19"/>
                <w:szCs w:val="19"/>
              </w:rPr>
              <w:t xml:space="preserve">      const rate = s455RatePct(l.madeOn);</w:t>
            </w:r>
          </w:p>
          <w:p>
            <w:pPr>
              <w:spacing w:after="40"/>
            </w:pPr>
            <w:r>
              <w:rPr>
                <w:rFonts w:ascii="Consolas" w:cs="Consolas" w:eastAsia="Consolas" w:hAnsi="Consolas"/>
                <w:color w:val="E5E7EB"/>
                <w:sz w:val="19"/>
                <w:szCs w:val="19"/>
              </w:rPr>
              <w:t xml:space="preserve">      const tax = roundP((l.outstandingAtDueDatePence * rate) / 100);</w:t>
            </w:r>
          </w:p>
          <w:p>
            <w:pPr>
              <w:spacing w:after="40"/>
            </w:pPr>
            <w:r>
              <w:rPr>
                <w:rFonts w:ascii="Consolas" w:cs="Consolas" w:eastAsia="Consolas" w:hAnsi="Consolas"/>
                <w:color w:val="E5E7EB"/>
                <w:sz w:val="19"/>
                <w:szCs w:val="19"/>
              </w:rPr>
              <w:t xml:space="preserve">      s455Lines.push({ loanId: l.id, ratePct: rate, taxPence: tax });</w:t>
            </w:r>
          </w:p>
          <w:p>
            <w:pPr>
              <w:spacing w:after="40"/>
            </w:pPr>
            <w:r>
              <w:rPr>
                <w:rFonts w:ascii="Consolas" w:cs="Consolas" w:eastAsia="Consolas" w:hAnsi="Consolas"/>
                <w:color w:val="E5E7EB"/>
                <w:sz w:val="19"/>
                <w:szCs w:val="19"/>
              </w:rPr>
              <w:t xml:space="preserve">      s455 += tax;</w:t>
            </w:r>
          </w:p>
          <w:p>
            <w:pPr>
              <w:spacing w:after="40"/>
            </w:pPr>
            <w:r>
              <w:rPr>
                <w:rFonts w:ascii="Consolas" w:cs="Consolas" w:eastAsia="Consolas" w:hAnsi="Consolas"/>
                <w:color w:val="E5E7EB"/>
                <w:sz w:val="19"/>
                <w:szCs w:val="19"/>
              </w:rPr>
              <w:t xml:space="preserve">    }</w:t>
            </w:r>
          </w:p>
          <w:p>
            <w:pPr>
              <w:spacing w:after="40"/>
            </w:pPr>
            <w:r>
              <w:rPr>
                <w:rFonts w:ascii="Consolas" w:cs="Consolas" w:eastAsia="Consolas" w:hAnsi="Consolas"/>
                <w:color w:val="E5E7EB"/>
                <w:sz w:val="19"/>
                <w:szCs w:val="19"/>
              </w:rPr>
              <w:t xml:space="preserve">  }</w:t>
            </w:r>
          </w:p>
          <w:p>
            <w:pPr>
              <w:spacing w:after="40"/>
            </w:pPr>
            <w:r>
              <w:rPr>
                <w:rFonts w:ascii="Consolas" w:cs="Consolas" w:eastAsia="Consolas" w:hAnsi="Consolas"/>
                <w:color w:val="E5E7EB"/>
                <w:sz w:val="19"/>
                <w:szCs w:val="19"/>
              </w:rPr>
              <w:t xml:space="preserve"/>
            </w:r>
          </w:p>
          <w:p>
            <w:pPr>
              <w:spacing w:after="40"/>
            </w:pPr>
            <w:r>
              <w:rPr>
                <w:rFonts w:ascii="Consolas" w:cs="Consolas" w:eastAsia="Consolas" w:hAnsi="Consolas"/>
                <w:color w:val="E5E7EB"/>
                <w:sz w:val="19"/>
                <w:szCs w:val="19"/>
              </w:rPr>
              <w:t xml:space="preserve">  return {</w:t>
            </w:r>
          </w:p>
          <w:p>
            <w:pPr>
              <w:spacing w:after="40"/>
            </w:pPr>
            <w:r>
              <w:rPr>
                <w:rFonts w:ascii="Consolas" w:cs="Consolas" w:eastAsia="Consolas" w:hAnsi="Consolas"/>
                <w:color w:val="E5E7EB"/>
                <w:sz w:val="19"/>
                <w:szCs w:val="19"/>
              </w:rPr>
              <w:t xml:space="preserve">    days, lowerLimitPence: L, upperLimitPence: U, totalTaxableProfitsPence: ttp,</w:t>
            </w:r>
          </w:p>
          <w:p>
            <w:pPr>
              <w:spacing w:after="40"/>
            </w:pPr>
            <w:r>
              <w:rPr>
                <w:rFonts w:ascii="Consolas" w:cs="Consolas" w:eastAsia="Consolas" w:hAnsi="Consolas"/>
                <w:color w:val="E5E7EB"/>
                <w:sz w:val="19"/>
                <w:szCs w:val="19"/>
              </w:rPr>
              <w:t xml:space="preserve">    augmentedProfitsPence: augmented, ctBeforeReliefPence: ctBefore, marginalReliefPence: mr,</w:t>
            </w:r>
          </w:p>
          <w:p>
            <w:pPr>
              <w:spacing w:after="40"/>
            </w:pPr>
            <w:r>
              <w:rPr>
                <w:rFonts w:ascii="Consolas" w:cs="Consolas" w:eastAsia="Consolas" w:hAnsi="Consolas"/>
                <w:color w:val="E5E7EB"/>
                <w:sz w:val="19"/>
                <w:szCs w:val="19"/>
              </w:rPr>
              <w:t xml:space="preserve">    corporationTaxPence: ct, s455TaxPence: s455, s455Lines, lossesCarriedForwardPence: lossCF, warnings,</w:t>
            </w:r>
          </w:p>
          <w:p>
            <w:pPr>
              <w:spacing w:after="40"/>
            </w:pPr>
            <w:r>
              <w:rPr>
                <w:rFonts w:ascii="Consolas" w:cs="Consolas" w:eastAsia="Consolas" w:hAnsi="Consolas"/>
                <w:color w:val="E5E7EB"/>
                <w:sz w:val="19"/>
                <w:szCs w:val="19"/>
              </w:rPr>
              <w:t xml:space="preserve">  };</w:t>
            </w:r>
          </w:p>
          <w:p>
            <w:pPr>
              <w:spacing w:after="40"/>
            </w:pPr>
            <w:r>
              <w:rPr>
                <w:rFonts w:ascii="Consolas" w:cs="Consolas" w:eastAsia="Consolas" w:hAnsi="Consolas"/>
                <w:color w:val="E5E7EB"/>
                <w:sz w:val="19"/>
                <w:szCs w:val="19"/>
              </w:rPr>
              <w:t xml:space="preserve">}</w:t>
            </w:r>
          </w:p>
          <w:p>
            <w:pPr>
              <w:spacing w:after="40"/>
            </w:pPr>
            <w:r>
              <w:rPr>
                <w:rFonts w:ascii="Consolas" w:cs="Consolas" w:eastAsia="Consolas" w:hAnsi="Consolas"/>
                <w:color w:val="E5E7EB"/>
                <w:sz w:val="19"/>
                <w:szCs w:val="19"/>
              </w:rPr>
              <w:t xml:space="preserve"/>
            </w:r>
          </w:p>
          <w:p>
            <w:pPr>
              <w:spacing w:after="40"/>
            </w:pPr>
            <w:r>
              <w:rPr>
                <w:rFonts w:ascii="Consolas" w:cs="Consolas" w:eastAsia="Consolas" w:hAnsi="Consolas"/>
                <w:color w:val="E5E7EB"/>
                <w:sz w:val="19"/>
                <w:szCs w:val="19"/>
              </w:rPr>
              <w:t xml:space="preserve">// ---------- extended period apportionment ----------</w:t>
            </w:r>
          </w:p>
          <w:p>
            <w:pPr>
              <w:spacing w:after="40"/>
            </w:pPr>
            <w:r>
              <w:rPr>
                <w:rFonts w:ascii="Consolas" w:cs="Consolas" w:eastAsia="Consolas" w:hAnsi="Consolas"/>
                <w:color w:val="E5E7EB"/>
                <w:sz w:val="19"/>
                <w:szCs w:val="19"/>
              </w:rPr>
              <w:t xml:space="preserve">/** Time-apportion a profit figure across the split periods (accounting profit BEFORE tax adjustments). */</w:t>
            </w:r>
          </w:p>
          <w:p>
            <w:pPr>
              <w:spacing w:after="40"/>
            </w:pPr>
            <w:r>
              <w:rPr>
                <w:rFonts w:ascii="Consolas" w:cs="Consolas" w:eastAsia="Consolas" w:hAnsi="Consolas"/>
                <w:color w:val="E5E7EB"/>
                <w:sz w:val="19"/>
                <w:szCs w:val="19"/>
              </w:rPr>
              <w:t xml:space="preserve">export function apportionByDays(totalPence: Pence, periods: DateRange[]): Pence[] {</w:t>
            </w:r>
          </w:p>
          <w:p>
            <w:pPr>
              <w:spacing w:after="40"/>
            </w:pPr>
            <w:r>
              <w:rPr>
                <w:rFonts w:ascii="Consolas" w:cs="Consolas" w:eastAsia="Consolas" w:hAnsi="Consolas"/>
                <w:color w:val="E5E7EB"/>
                <w:sz w:val="19"/>
                <w:szCs w:val="19"/>
              </w:rPr>
              <w:t xml:space="preserve">  const days = periods.map(p =&gt; daysInclusive(p.start, p.end));</w:t>
            </w:r>
          </w:p>
          <w:p>
            <w:pPr>
              <w:spacing w:after="40"/>
            </w:pPr>
            <w:r>
              <w:rPr>
                <w:rFonts w:ascii="Consolas" w:cs="Consolas" w:eastAsia="Consolas" w:hAnsi="Consolas"/>
                <w:color w:val="E5E7EB"/>
                <w:sz w:val="19"/>
                <w:szCs w:val="19"/>
              </w:rPr>
              <w:t xml:space="preserve">  const total = days.reduce((a, b) =&gt; a + b, 0);</w:t>
            </w:r>
          </w:p>
          <w:p>
            <w:pPr>
              <w:spacing w:after="40"/>
            </w:pPr>
            <w:r>
              <w:rPr>
                <w:rFonts w:ascii="Consolas" w:cs="Consolas" w:eastAsia="Consolas" w:hAnsi="Consolas"/>
                <w:color w:val="E5E7EB"/>
                <w:sz w:val="19"/>
                <w:szCs w:val="19"/>
              </w:rPr>
              <w:t xml:space="preserve">  const parts = days.map(d =&gt; Math.floor((totalPence * d) / total));</w:t>
            </w:r>
          </w:p>
          <w:p>
            <w:pPr>
              <w:spacing w:after="40"/>
            </w:pPr>
            <w:r>
              <w:rPr>
                <w:rFonts w:ascii="Consolas" w:cs="Consolas" w:eastAsia="Consolas" w:hAnsi="Consolas"/>
                <w:color w:val="E5E7EB"/>
                <w:sz w:val="19"/>
                <w:szCs w:val="19"/>
              </w:rPr>
              <w:t xml:space="preserve">  parts[parts.length - 1] += totalPence - parts.reduce((a, b) =&gt; a + b, 0); // remainder pence to last period</w:t>
            </w:r>
          </w:p>
          <w:p>
            <w:pPr>
              <w:spacing w:after="40"/>
            </w:pPr>
            <w:r>
              <w:rPr>
                <w:rFonts w:ascii="Consolas" w:cs="Consolas" w:eastAsia="Consolas" w:hAnsi="Consolas"/>
                <w:color w:val="E5E7EB"/>
                <w:sz w:val="19"/>
                <w:szCs w:val="19"/>
              </w:rPr>
              <w:t xml:space="preserve">  return parts;</w:t>
            </w:r>
          </w:p>
          <w:p>
            <w:pPr>
              <w:spacing w:after="40"/>
            </w:pPr>
            <w:r>
              <w:rPr>
                <w:rFonts w:ascii="Consolas" w:cs="Consolas" w:eastAsia="Consolas" w:hAnsi="Consolas"/>
                <w:color w:val="E5E7EB"/>
                <w:sz w:val="19"/>
                <w:szCs w:val="19"/>
              </w:rPr>
              <w:t xml:space="preserve">}</w:t>
            </w:r>
          </w:p>
        </w:tc>
      </w:tr>
    </w:tbl>
    <w:p>
      <w:pPr>
        <w:spacing w:after="150" w:line="300"/>
      </w:pPr>
      <w:r>
        <w:rPr>
          <w:color w:val="202020"/>
          <w:sz w:val="21"/>
          <w:szCs w:val="21"/>
        </w:rPr>
        <w:t xml:space="preserve">The 22 tests below are the permanent regression suite for this engine. They should run in CI on every change, exactly as Rule 3.1.3 and Rule 3.1.11 already establish for the two prose worked examples, this is the same discipline applied exhaustively rather than to two hand-picked cases.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shd w:fill="1F2937" w:color="auto" w:val="clear"/>
            <w:tcMar>
              <w:top w:type="dxa" w:w="160"/>
              <w:left w:type="dxa" w:w="200"/>
              <w:bottom w:type="dxa" w:w="160"/>
              <w:right w:type="dxa" w:w="200"/>
            </w:tcMar>
          </w:tcPr>
          <w:p>
            <w:pPr>
              <w:spacing w:after="40"/>
            </w:pPr>
            <w:r>
              <w:rPr>
                <w:rFonts w:ascii="Consolas" w:cs="Consolas" w:eastAsia="Consolas" w:hAnsi="Consolas"/>
                <w:color w:val="E5E7EB"/>
                <w:sz w:val="19"/>
                <w:szCs w:val="19"/>
              </w:rPr>
              <w:t xml:space="preserve">ok  inclusive day count is 382 for the worked example in Rule 3.1.11</w:t>
            </w:r>
          </w:p>
          <w:p>
            <w:pPr>
              <w:spacing w:after="40"/>
            </w:pPr>
            <w:r>
              <w:rPr>
                <w:rFonts w:ascii="Consolas" w:cs="Consolas" w:eastAsia="Consolas" w:hAnsi="Consolas"/>
                <w:color w:val="E5E7EB"/>
                <w:sz w:val="19"/>
                <w:szCs w:val="19"/>
              </w:rPr>
              <w:t xml:space="preserve">ok  extended period splits into 365 + 17 days</w:t>
            </w:r>
          </w:p>
          <w:p>
            <w:pPr>
              <w:spacing w:after="40"/>
            </w:pPr>
            <w:r>
              <w:rPr>
                <w:rFonts w:ascii="Consolas" w:cs="Consolas" w:eastAsia="Consolas" w:hAnsi="Consolas"/>
                <w:color w:val="E5E7EB"/>
                <w:sz w:val="19"/>
                <w:szCs w:val="19"/>
              </w:rPr>
              <w:t xml:space="preserve">ok  leap-year split: 12 months from 1 Mar 2023 ends 29 Feb 2024</w:t>
            </w:r>
          </w:p>
          <w:p>
            <w:pPr>
              <w:spacing w:after="40"/>
            </w:pPr>
            <w:r>
              <w:rPr>
                <w:rFonts w:ascii="Consolas" w:cs="Consolas" w:eastAsia="Consolas" w:hAnsi="Consolas"/>
                <w:color w:val="E5E7EB"/>
                <w:sz w:val="19"/>
                <w:szCs w:val="19"/>
              </w:rPr>
              <w:t xml:space="preserve">ok  12-month period is not split</w:t>
            </w:r>
          </w:p>
          <w:p>
            <w:pPr>
              <w:spacing w:after="40"/>
            </w:pPr>
            <w:r>
              <w:rPr>
                <w:rFonts w:ascii="Consolas" w:cs="Consolas" w:eastAsia="Consolas" w:hAnsi="Consolas"/>
                <w:color w:val="E5E7EB"/>
                <w:sz w:val="19"/>
                <w:szCs w:val="19"/>
              </w:rPr>
              <w:t xml:space="preserve">ok  18-month period splits at 12 months (Rule 3.1.5)</w:t>
            </w:r>
          </w:p>
          <w:p>
            <w:pPr>
              <w:spacing w:after="40"/>
            </w:pPr>
            <w:r>
              <w:rPr>
                <w:rFonts w:ascii="Consolas" w:cs="Consolas" w:eastAsia="Consolas" w:hAnsi="Consolas"/>
                <w:color w:val="E5E7EB"/>
                <w:sz w:val="19"/>
                <w:szCs w:val="19"/>
              </w:rPr>
              <w:t xml:space="preserve">ok  payment due dates (unambiguous cases)</w:t>
            </w:r>
          </w:p>
          <w:p>
            <w:pPr>
              <w:spacing w:after="40"/>
            </w:pPr>
            <w:r>
              <w:rPr>
                <w:rFonts w:ascii="Consolas" w:cs="Consolas" w:eastAsia="Consolas" w:hAnsi="Consolas"/>
                <w:color w:val="E5E7EB"/>
                <w:sz w:val="19"/>
                <w:szCs w:val="19"/>
              </w:rPr>
              <w:t xml:space="preserve">ok  small profits rate: 30,000 -&gt; 5,700</w:t>
            </w:r>
          </w:p>
          <w:p>
            <w:pPr>
              <w:spacing w:after="40"/>
            </w:pPr>
            <w:r>
              <w:rPr>
                <w:rFonts w:ascii="Consolas" w:cs="Consolas" w:eastAsia="Consolas" w:hAnsi="Consolas"/>
                <w:color w:val="E5E7EB"/>
                <w:sz w:val="19"/>
                <w:szCs w:val="19"/>
              </w:rPr>
              <w:t xml:space="preserve">ok  marginal relief: 100,000 -&gt; 22,750  (matches Rule 3.1.3 exactly)</w:t>
            </w:r>
          </w:p>
          <w:p>
            <w:pPr>
              <w:spacing w:after="40"/>
            </w:pPr>
            <w:r>
              <w:rPr>
                <w:rFonts w:ascii="Consolas" w:cs="Consolas" w:eastAsia="Consolas" w:hAnsi="Consolas"/>
                <w:color w:val="E5E7EB"/>
                <w:sz w:val="19"/>
                <w:szCs w:val="19"/>
              </w:rPr>
              <w:t xml:space="preserve">ok  main rate: 300,000 -&gt; 75,000</w:t>
            </w:r>
          </w:p>
          <w:p>
            <w:pPr>
              <w:spacing w:after="40"/>
            </w:pPr>
            <w:r>
              <w:rPr>
                <w:rFonts w:ascii="Consolas" w:cs="Consolas" w:eastAsia="Consolas" w:hAnsi="Consolas"/>
                <w:color w:val="E5E7EB"/>
                <w:sz w:val="19"/>
                <w:szCs w:val="19"/>
              </w:rPr>
              <w:t xml:space="preserve">ok  one associated company halves limits: 60,000 -&gt; 14,025</w:t>
            </w:r>
          </w:p>
          <w:p>
            <w:pPr>
              <w:spacing w:after="40"/>
            </w:pPr>
            <w:r>
              <w:rPr>
                <w:rFonts w:ascii="Consolas" w:cs="Consolas" w:eastAsia="Consolas" w:hAnsi="Consolas"/>
                <w:color w:val="E5E7EB"/>
                <w:sz w:val="19"/>
                <w:szCs w:val="19"/>
              </w:rPr>
              <w:t xml:space="preserve">ok  boundaries: A=L is 19%, A=U is 25%</w:t>
            </w:r>
          </w:p>
          <w:p>
            <w:pPr>
              <w:spacing w:after="40"/>
            </w:pPr>
            <w:r>
              <w:rPr>
                <w:rFonts w:ascii="Consolas" w:cs="Consolas" w:eastAsia="Consolas" w:hAnsi="Consolas"/>
                <w:color w:val="E5E7EB"/>
                <w:sz w:val="19"/>
                <w:szCs w:val="19"/>
              </w:rPr>
              <w:t xml:space="preserve">ok  exempt distributions raise augmented profits: 100k + 50k FII -&gt; 24,000</w:t>
            </w:r>
          </w:p>
          <w:p>
            <w:pPr>
              <w:spacing w:after="40"/>
            </w:pPr>
            <w:r>
              <w:rPr>
                <w:rFonts w:ascii="Consolas" w:cs="Consolas" w:eastAsia="Consolas" w:hAnsi="Consolas"/>
                <w:color w:val="E5E7EB"/>
                <w:sz w:val="19"/>
                <w:szCs w:val="19"/>
              </w:rPr>
              <w:t xml:space="preserve">ok  short 17-day period scales the limits correctly</w:t>
            </w:r>
          </w:p>
          <w:p>
            <w:pPr>
              <w:spacing w:after="40"/>
            </w:pPr>
            <w:r>
              <w:rPr>
                <w:rFonts w:ascii="Consolas" w:cs="Consolas" w:eastAsia="Consolas" w:hAnsi="Consolas"/>
                <w:color w:val="E5E7EB"/>
                <w:sz w:val="19"/>
                <w:szCs w:val="19"/>
              </w:rPr>
              <w:t xml:space="preserve">ok  brought-forward losses survive a loss-making year</w:t>
            </w:r>
          </w:p>
          <w:p>
            <w:pPr>
              <w:spacing w:after="40"/>
            </w:pPr>
            <w:r>
              <w:rPr>
                <w:rFonts w:ascii="Consolas" w:cs="Consolas" w:eastAsia="Consolas" w:hAnsi="Consolas"/>
                <w:color w:val="E5E7EB"/>
                <w:sz w:val="19"/>
                <w:szCs w:val="19"/>
              </w:rPr>
              <w:t xml:space="preserve">ok  current loss is set against interest first</w:t>
            </w:r>
          </w:p>
          <w:p>
            <w:pPr>
              <w:spacing w:after="40"/>
            </w:pPr>
            <w:r>
              <w:rPr>
                <w:rFonts w:ascii="Consolas" w:cs="Consolas" w:eastAsia="Consolas" w:hAnsi="Consolas"/>
                <w:color w:val="E5E7EB"/>
                <w:sz w:val="19"/>
                <w:szCs w:val="19"/>
              </w:rPr>
              <w:t xml:space="preserve">ok  b/f losses reduce total profits</w:t>
            </w:r>
          </w:p>
          <w:p>
            <w:pPr>
              <w:spacing w:after="40"/>
            </w:pPr>
            <w:r>
              <w:rPr>
                <w:rFonts w:ascii="Consolas" w:cs="Consolas" w:eastAsia="Consolas" w:hAnsi="Consolas"/>
                <w:color w:val="E5E7EB"/>
                <w:sz w:val="19"/>
                <w:szCs w:val="19"/>
              </w:rPr>
              <w:t xml:space="preserve">ok  s455 rate bands follow the loan date (Rule 3.1.13a)</w:t>
            </w:r>
          </w:p>
          <w:p>
            <w:pPr>
              <w:spacing w:after="40"/>
            </w:pPr>
            <w:r>
              <w:rPr>
                <w:rFonts w:ascii="Consolas" w:cs="Consolas" w:eastAsia="Consolas" w:hAnsi="Consolas"/>
                <w:color w:val="E5E7EB"/>
                <w:sz w:val="19"/>
                <w:szCs w:val="19"/>
              </w:rPr>
              <w:t xml:space="preserve">ok  s455 is computed loan by loan: 3,375 + 3,575  (matches Rule 3.1.13a example B)</w:t>
            </w:r>
          </w:p>
          <w:p>
            <w:pPr>
              <w:spacing w:after="40"/>
            </w:pPr>
            <w:r>
              <w:rPr>
                <w:rFonts w:ascii="Consolas" w:cs="Consolas" w:eastAsia="Consolas" w:hAnsi="Consolas"/>
                <w:color w:val="E5E7EB"/>
                <w:sz w:val="19"/>
                <w:szCs w:val="19"/>
              </w:rPr>
              <w:t xml:space="preserve">ok  s455 not charged on a non-close company</w:t>
            </w:r>
          </w:p>
          <w:p>
            <w:pPr>
              <w:spacing w:after="40"/>
            </w:pPr>
            <w:r>
              <w:rPr>
                <w:rFonts w:ascii="Consolas" w:cs="Consolas" w:eastAsia="Consolas" w:hAnsi="Consolas"/>
                <w:color w:val="E5E7EB"/>
                <w:sz w:val="19"/>
                <w:szCs w:val="19"/>
              </w:rPr>
              <w:t xml:space="preserve">ok  hybrid WDA rate, weighted by days either side of 1 April 2026</w:t>
            </w:r>
          </w:p>
          <w:p>
            <w:pPr>
              <w:spacing w:after="40"/>
            </w:pPr>
            <w:r>
              <w:rPr>
                <w:rFonts w:ascii="Consolas" w:cs="Consolas" w:eastAsia="Consolas" w:hAnsi="Consolas"/>
                <w:color w:val="E5E7EB"/>
                <w:sz w:val="19"/>
                <w:szCs w:val="19"/>
              </w:rPr>
              <w:t xml:space="preserve">ok  apportionment conserves every penny</w:t>
            </w:r>
          </w:p>
          <w:p>
            <w:pPr>
              <w:spacing w:after="40"/>
            </w:pPr>
            <w:r>
              <w:rPr>
                <w:rFonts w:ascii="Consolas" w:cs="Consolas" w:eastAsia="Consolas" w:hAnsi="Consolas"/>
                <w:color w:val="E5E7EB"/>
                <w:sz w:val="19"/>
                <w:szCs w:val="19"/>
              </w:rPr>
              <w:t xml:space="preserve">ok  rejects floats and over-length periods</w:t>
            </w:r>
          </w:p>
          <w:p>
            <w:pPr>
              <w:spacing w:after="40"/>
            </w:pPr>
            <w:r>
              <w:rPr>
                <w:rFonts w:ascii="Consolas" w:cs="Consolas" w:eastAsia="Consolas" w:hAnsi="Consolas"/>
                <w:color w:val="E5E7EB"/>
                <w:sz w:val="19"/>
                <w:szCs w:val="19"/>
              </w:rPr>
              <w:t xml:space="preserve"/>
            </w:r>
          </w:p>
          <w:p>
            <w:pPr>
              <w:spacing w:after="40"/>
            </w:pPr>
            <w:r>
              <w:rPr>
                <w:rFonts w:ascii="Consolas" w:cs="Consolas" w:eastAsia="Consolas" w:hAnsi="Consolas"/>
                <w:color w:val="E5E7EB"/>
                <w:sz w:val="19"/>
                <w:szCs w:val="19"/>
              </w:rPr>
              <w:t xml:space="preserve">22 tests passed</w:t>
            </w:r>
          </w:p>
        </w:tc>
      </w:tr>
    </w:tbl>
    <w:p>
      <w:pPr>
        <w:spacing w:after="220" w:before="60"/>
      </w:pPr>
      <w:r>
        <w:rPr>
          <w:i/>
          <w:iCs/>
          <w:color w:val="595959"/>
          <w:sz w:val="17"/>
          <w:szCs w:val="17"/>
        </w:rPr>
        <w:t xml:space="preserve">Test names, not test code, kept here as a readable checklist of what the suite actually proves. The two highlighted lines cross-check directly against Rule 3.1.3 and Rule 3.1.13a elsewhere in this document, independent confirmation the engine and the prose spec agree.</w:t>
      </w:r>
    </w:p>
    <w:p>
      <w:pPr>
        <w:spacing w:after="150" w:line="300"/>
      </w:pPr>
      <w:r>
        <w:rPr>
          <w:color w:val="202020"/>
          <w:sz w:val="21"/>
          <w:szCs w:val="21"/>
        </w:rPr>
        <w:t xml:space="preserve">Key worked cases, for human review:</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2800"/>
        <w:gridCol w:w="2446"/>
        <w:gridCol w:w="2400"/>
      </w:tblGrid>
      <w:tr>
        <w:trPr>
          <w:tblHeader/>
        </w:trPr>
        <w:tc>
          <w:tcPr>
            <w:tcW w:type="dxa" w:w="2100"/>
            <w:shd w:fill="1F3A5F" w:color="auto" w:val="clear"/>
            <w:tcMar>
              <w:top w:type="dxa" w:w="80"/>
              <w:left w:type="dxa" w:w="100"/>
              <w:bottom w:type="dxa" w:w="80"/>
              <w:right w:type="dxa" w:w="100"/>
            </w:tcMar>
          </w:tcPr>
          <w:p>
            <w:pPr>
              <w:jc w:val="left"/>
            </w:pPr>
            <w:r>
              <w:rPr>
                <w:b/>
                <w:bCs/>
                <w:color w:val="FFFFFF"/>
                <w:sz w:val="18"/>
                <w:szCs w:val="18"/>
              </w:rPr>
              <w:t xml:space="preserve">Case</w:t>
            </w:r>
          </w:p>
        </w:tc>
        <w:tc>
          <w:tcPr>
            <w:tcW w:type="dxa" w:w="2800"/>
            <w:shd w:fill="1F3A5F" w:color="auto" w:val="clear"/>
            <w:tcMar>
              <w:top w:type="dxa" w:w="80"/>
              <w:left w:type="dxa" w:w="100"/>
              <w:bottom w:type="dxa" w:w="80"/>
              <w:right w:type="dxa" w:w="100"/>
            </w:tcMar>
          </w:tcPr>
          <w:p>
            <w:pPr>
              <w:jc w:val="left"/>
            </w:pPr>
            <w:r>
              <w:rPr>
                <w:b/>
                <w:bCs/>
                <w:color w:val="FFFFFF"/>
                <w:sz w:val="18"/>
                <w:szCs w:val="18"/>
              </w:rPr>
              <w:t xml:space="preserve">Inputs</w:t>
            </w:r>
          </w:p>
        </w:tc>
        <w:tc>
          <w:tcPr>
            <w:tcW w:type="dxa" w:w="2446"/>
            <w:shd w:fill="1F3A5F" w:color="auto" w:val="clear"/>
            <w:tcMar>
              <w:top w:type="dxa" w:w="80"/>
              <w:left w:type="dxa" w:w="100"/>
              <w:bottom w:type="dxa" w:w="80"/>
              <w:right w:type="dxa" w:w="100"/>
            </w:tcMar>
          </w:tcPr>
          <w:p>
            <w:pPr>
              <w:jc w:val="left"/>
            </w:pPr>
            <w:r>
              <w:rPr>
                <w:b/>
                <w:bCs/>
                <w:color w:val="FFFFFF"/>
                <w:sz w:val="18"/>
                <w:szCs w:val="18"/>
              </w:rPr>
              <w:t xml:space="preserve">Expected</w:t>
            </w:r>
          </w:p>
        </w:tc>
        <w:tc>
          <w:tcPr>
            <w:tcW w:type="dxa" w:w="2400"/>
            <w:shd w:fill="1F3A5F" w:color="auto" w:val="clear"/>
            <w:tcMar>
              <w:top w:type="dxa" w:w="80"/>
              <w:left w:type="dxa" w:w="100"/>
              <w:bottom w:type="dxa" w:w="80"/>
              <w:right w:type="dxa" w:w="100"/>
            </w:tcMar>
          </w:tcPr>
          <w:p>
            <w:pPr>
              <w:jc w:val="left"/>
            </w:pPr>
            <w:r>
              <w:rPr>
                <w:b/>
                <w:bCs/>
                <w:color w:val="FFFFFF"/>
                <w:sz w:val="18"/>
                <w:szCs w:val="18"/>
              </w:rPr>
              <w:t xml:space="preserve">Result</w:t>
            </w:r>
          </w:p>
        </w:tc>
      </w:tr>
      <w:tr>
        <w:tc>
          <w:tcPr>
            <w:tcW w:type="dxa" w:w="2100"/>
            <w:tcMar>
              <w:top w:type="dxa" w:w="80"/>
              <w:left w:type="dxa" w:w="100"/>
              <w:bottom w:type="dxa" w:w="80"/>
              <w:right w:type="dxa" w:w="100"/>
            </w:tcMar>
          </w:tcPr>
          <w:p>
            <w:pPr>
              <w:jc w:val="left"/>
            </w:pPr>
            <w:r>
              <w:rPr>
                <w:b w:val="false"/>
                <w:bCs w:val="false"/>
                <w:color w:val="202020"/>
                <w:sz w:val="18"/>
                <w:szCs w:val="18"/>
              </w:rPr>
              <w:t xml:space="preserve">Small profits</w:t>
            </w:r>
          </w:p>
        </w:tc>
        <w:tc>
          <w:tcPr>
            <w:tcW w:type="dxa" w:w="2800"/>
            <w:tcMar>
              <w:top w:type="dxa" w:w="80"/>
              <w:left w:type="dxa" w:w="100"/>
              <w:bottom w:type="dxa" w:w="80"/>
              <w:right w:type="dxa" w:w="100"/>
            </w:tcMar>
          </w:tcPr>
          <w:p>
            <w:pPr>
              <w:jc w:val="left"/>
            </w:pPr>
            <w:r>
              <w:rPr>
                <w:b w:val="false"/>
                <w:bCs w:val="false"/>
                <w:color w:val="202020"/>
                <w:sz w:val="18"/>
                <w:szCs w:val="18"/>
              </w:rPr>
              <w:t xml:space="preserve">£30,000, N=0, 12 months</w:t>
            </w:r>
          </w:p>
        </w:tc>
        <w:tc>
          <w:tcPr>
            <w:tcW w:type="dxa" w:w="2446"/>
            <w:tcMar>
              <w:top w:type="dxa" w:w="80"/>
              <w:left w:type="dxa" w:w="100"/>
              <w:bottom w:type="dxa" w:w="80"/>
              <w:right w:type="dxa" w:w="100"/>
            </w:tcMar>
          </w:tcPr>
          <w:p>
            <w:pPr>
              <w:jc w:val="left"/>
            </w:pPr>
            <w:r>
              <w:rPr>
                <w:b w:val="false"/>
                <w:bCs w:val="false"/>
                <w:color w:val="202020"/>
                <w:sz w:val="18"/>
                <w:szCs w:val="18"/>
              </w:rPr>
              <w:t xml:space="preserve">£5,700</w:t>
            </w:r>
          </w:p>
        </w:tc>
        <w:tc>
          <w:tcPr>
            <w:tcW w:type="dxa" w:w="2400"/>
            <w:tcMar>
              <w:top w:type="dxa" w:w="80"/>
              <w:left w:type="dxa" w:w="100"/>
              <w:bottom w:type="dxa" w:w="80"/>
              <w:right w:type="dxa" w:w="100"/>
            </w:tcMar>
          </w:tcPr>
          <w:p>
            <w:pPr>
              <w:jc w:val="left"/>
            </w:pPr>
            <w:r>
              <w:rPr>
                <w:b w:val="false"/>
                <w:bCs w:val="false"/>
                <w:color w:val="202020"/>
                <w:sz w:val="18"/>
                <w:szCs w:val="18"/>
              </w:rPr>
              <w:t xml:space="preserve">pass</w:t>
            </w:r>
          </w:p>
        </w:tc>
      </w:tr>
      <w:tr>
        <w:tc>
          <w:tcPr>
            <w:tcW w:type="dxa" w:w="2100"/>
            <w:shd w:fill="F2F2F2" w:color="auto" w:val="clear"/>
            <w:tcMar>
              <w:top w:type="dxa" w:w="80"/>
              <w:left w:type="dxa" w:w="100"/>
              <w:bottom w:type="dxa" w:w="80"/>
              <w:right w:type="dxa" w:w="100"/>
            </w:tcMar>
          </w:tcPr>
          <w:p>
            <w:pPr>
              <w:jc w:val="left"/>
            </w:pPr>
            <w:r>
              <w:rPr>
                <w:b w:val="false"/>
                <w:bCs w:val="false"/>
                <w:color w:val="202020"/>
                <w:sz w:val="18"/>
                <w:szCs w:val="18"/>
              </w:rPr>
              <w:t xml:space="preserve">Marginal relief</w:t>
            </w:r>
          </w:p>
        </w:tc>
        <w:tc>
          <w:tcPr>
            <w:tcW w:type="dxa" w:w="2800"/>
            <w:shd w:fill="F2F2F2" w:color="auto" w:val="clear"/>
            <w:tcMar>
              <w:top w:type="dxa" w:w="80"/>
              <w:left w:type="dxa" w:w="100"/>
              <w:bottom w:type="dxa" w:w="80"/>
              <w:right w:type="dxa" w:w="100"/>
            </w:tcMar>
          </w:tcPr>
          <w:p>
            <w:pPr>
              <w:jc w:val="left"/>
            </w:pPr>
            <w:r>
              <w:rPr>
                <w:b w:val="false"/>
                <w:bCs w:val="false"/>
                <w:color w:val="202020"/>
                <w:sz w:val="18"/>
                <w:szCs w:val="18"/>
              </w:rPr>
              <w:t xml:space="preserve">£100,000, N=0</w:t>
            </w:r>
          </w:p>
        </w:tc>
        <w:tc>
          <w:tcPr>
            <w:tcW w:type="dxa" w:w="2446"/>
            <w:shd w:fill="F2F2F2" w:color="auto" w:val="clear"/>
            <w:tcMar>
              <w:top w:type="dxa" w:w="80"/>
              <w:left w:type="dxa" w:w="100"/>
              <w:bottom w:type="dxa" w:w="80"/>
              <w:right w:type="dxa" w:w="100"/>
            </w:tcMar>
          </w:tcPr>
          <w:p>
            <w:pPr>
              <w:jc w:val="left"/>
            </w:pPr>
            <w:r>
              <w:rPr>
                <w:b w:val="false"/>
                <w:bCs w:val="false"/>
                <w:color w:val="202020"/>
                <w:sz w:val="18"/>
                <w:szCs w:val="18"/>
              </w:rPr>
              <w:t xml:space="preserve">£22,750 (relief £2,250)</w:t>
            </w:r>
          </w:p>
        </w:tc>
        <w:tc>
          <w:tcPr>
            <w:tcW w:type="dxa" w:w="2400"/>
            <w:shd w:fill="F2F2F2" w:color="auto" w:val="clear"/>
            <w:tcMar>
              <w:top w:type="dxa" w:w="80"/>
              <w:left w:type="dxa" w:w="100"/>
              <w:bottom w:type="dxa" w:w="80"/>
              <w:right w:type="dxa" w:w="100"/>
            </w:tcMar>
          </w:tcPr>
          <w:p>
            <w:pPr>
              <w:jc w:val="left"/>
            </w:pPr>
            <w:r>
              <w:rPr>
                <w:b w:val="false"/>
                <w:bCs w:val="false"/>
                <w:color w:val="202020"/>
                <w:sz w:val="18"/>
                <w:szCs w:val="18"/>
              </w:rPr>
              <w:t xml:space="preserve">pass</w:t>
            </w:r>
          </w:p>
        </w:tc>
      </w:tr>
      <w:tr>
        <w:tc>
          <w:tcPr>
            <w:tcW w:type="dxa" w:w="2100"/>
            <w:tcMar>
              <w:top w:type="dxa" w:w="80"/>
              <w:left w:type="dxa" w:w="100"/>
              <w:bottom w:type="dxa" w:w="80"/>
              <w:right w:type="dxa" w:w="100"/>
            </w:tcMar>
          </w:tcPr>
          <w:p>
            <w:pPr>
              <w:jc w:val="left"/>
            </w:pPr>
            <w:r>
              <w:rPr>
                <w:b w:val="false"/>
                <w:bCs w:val="false"/>
                <w:color w:val="202020"/>
                <w:sz w:val="18"/>
                <w:szCs w:val="18"/>
              </w:rPr>
              <w:t xml:space="preserve">Main rate</w:t>
            </w:r>
          </w:p>
        </w:tc>
        <w:tc>
          <w:tcPr>
            <w:tcW w:type="dxa" w:w="2800"/>
            <w:tcMar>
              <w:top w:type="dxa" w:w="80"/>
              <w:left w:type="dxa" w:w="100"/>
              <w:bottom w:type="dxa" w:w="80"/>
              <w:right w:type="dxa" w:w="100"/>
            </w:tcMar>
          </w:tcPr>
          <w:p>
            <w:pPr>
              <w:jc w:val="left"/>
            </w:pPr>
            <w:r>
              <w:rPr>
                <w:b w:val="false"/>
                <w:bCs w:val="false"/>
                <w:color w:val="202020"/>
                <w:sz w:val="18"/>
                <w:szCs w:val="18"/>
              </w:rPr>
              <w:t xml:space="preserve">£300,000</w:t>
            </w:r>
          </w:p>
        </w:tc>
        <w:tc>
          <w:tcPr>
            <w:tcW w:type="dxa" w:w="2446"/>
            <w:tcMar>
              <w:top w:type="dxa" w:w="80"/>
              <w:left w:type="dxa" w:w="100"/>
              <w:bottom w:type="dxa" w:w="80"/>
              <w:right w:type="dxa" w:w="100"/>
            </w:tcMar>
          </w:tcPr>
          <w:p>
            <w:pPr>
              <w:jc w:val="left"/>
            </w:pPr>
            <w:r>
              <w:rPr>
                <w:b w:val="false"/>
                <w:bCs w:val="false"/>
                <w:color w:val="202020"/>
                <w:sz w:val="18"/>
                <w:szCs w:val="18"/>
              </w:rPr>
              <w:t xml:space="preserve">£75,000</w:t>
            </w:r>
          </w:p>
        </w:tc>
        <w:tc>
          <w:tcPr>
            <w:tcW w:type="dxa" w:w="2400"/>
            <w:tcMar>
              <w:top w:type="dxa" w:w="80"/>
              <w:left w:type="dxa" w:w="100"/>
              <w:bottom w:type="dxa" w:w="80"/>
              <w:right w:type="dxa" w:w="100"/>
            </w:tcMar>
          </w:tcPr>
          <w:p>
            <w:pPr>
              <w:jc w:val="left"/>
            </w:pPr>
            <w:r>
              <w:rPr>
                <w:b w:val="false"/>
                <w:bCs w:val="false"/>
                <w:color w:val="202020"/>
                <w:sz w:val="18"/>
                <w:szCs w:val="18"/>
              </w:rPr>
              <w:t xml:space="preserve">pass</w:t>
            </w:r>
          </w:p>
        </w:tc>
      </w:tr>
      <w:tr>
        <w:tc>
          <w:tcPr>
            <w:tcW w:type="dxa" w:w="2100"/>
            <w:shd w:fill="F2F2F2" w:color="auto" w:val="clear"/>
            <w:tcMar>
              <w:top w:type="dxa" w:w="80"/>
              <w:left w:type="dxa" w:w="100"/>
              <w:bottom w:type="dxa" w:w="80"/>
              <w:right w:type="dxa" w:w="100"/>
            </w:tcMar>
          </w:tcPr>
          <w:p>
            <w:pPr>
              <w:jc w:val="left"/>
            </w:pPr>
            <w:r>
              <w:rPr>
                <w:b w:val="false"/>
                <w:bCs w:val="false"/>
                <w:color w:val="202020"/>
                <w:sz w:val="18"/>
                <w:szCs w:val="18"/>
              </w:rPr>
              <w:t xml:space="preserve">One associated company</w:t>
            </w:r>
          </w:p>
        </w:tc>
        <w:tc>
          <w:tcPr>
            <w:tcW w:type="dxa" w:w="2800"/>
            <w:shd w:fill="F2F2F2" w:color="auto" w:val="clear"/>
            <w:tcMar>
              <w:top w:type="dxa" w:w="80"/>
              <w:left w:type="dxa" w:w="100"/>
              <w:bottom w:type="dxa" w:w="80"/>
              <w:right w:type="dxa" w:w="100"/>
            </w:tcMar>
          </w:tcPr>
          <w:p>
            <w:pPr>
              <w:jc w:val="left"/>
            </w:pPr>
            <w:r>
              <w:rPr>
                <w:b w:val="false"/>
                <w:bCs w:val="false"/>
                <w:color w:val="202020"/>
                <w:sz w:val="18"/>
                <w:szCs w:val="18"/>
              </w:rPr>
              <w:t xml:space="preserve">£60,000, N=1</w:t>
            </w:r>
          </w:p>
        </w:tc>
        <w:tc>
          <w:tcPr>
            <w:tcW w:type="dxa" w:w="2446"/>
            <w:shd w:fill="F2F2F2" w:color="auto" w:val="clear"/>
            <w:tcMar>
              <w:top w:type="dxa" w:w="80"/>
              <w:left w:type="dxa" w:w="100"/>
              <w:bottom w:type="dxa" w:w="80"/>
              <w:right w:type="dxa" w:w="100"/>
            </w:tcMar>
          </w:tcPr>
          <w:p>
            <w:pPr>
              <w:jc w:val="left"/>
            </w:pPr>
            <w:r>
              <w:rPr>
                <w:b w:val="false"/>
                <w:bCs w:val="false"/>
                <w:color w:val="202020"/>
                <w:sz w:val="18"/>
                <w:szCs w:val="18"/>
              </w:rPr>
              <w:t xml:space="preserve">£14,025</w:t>
            </w:r>
          </w:p>
        </w:tc>
        <w:tc>
          <w:tcPr>
            <w:tcW w:type="dxa" w:w="2400"/>
            <w:shd w:fill="F2F2F2" w:color="auto" w:val="clear"/>
            <w:tcMar>
              <w:top w:type="dxa" w:w="80"/>
              <w:left w:type="dxa" w:w="100"/>
              <w:bottom w:type="dxa" w:w="80"/>
              <w:right w:type="dxa" w:w="100"/>
            </w:tcMar>
          </w:tcPr>
          <w:p>
            <w:pPr>
              <w:jc w:val="left"/>
            </w:pPr>
            <w:r>
              <w:rPr>
                <w:b w:val="false"/>
                <w:bCs w:val="false"/>
                <w:color w:val="202020"/>
                <w:sz w:val="18"/>
                <w:szCs w:val="18"/>
              </w:rPr>
              <w:t xml:space="preserve">pass</w:t>
            </w:r>
          </w:p>
        </w:tc>
      </w:tr>
      <w:tr>
        <w:tc>
          <w:tcPr>
            <w:tcW w:type="dxa" w:w="2100"/>
            <w:tcMar>
              <w:top w:type="dxa" w:w="80"/>
              <w:left w:type="dxa" w:w="100"/>
              <w:bottom w:type="dxa" w:w="80"/>
              <w:right w:type="dxa" w:w="100"/>
            </w:tcMar>
          </w:tcPr>
          <w:p>
            <w:pPr>
              <w:jc w:val="left"/>
            </w:pPr>
            <w:r>
              <w:rPr>
                <w:b w:val="false"/>
                <w:bCs w:val="false"/>
                <w:color w:val="202020"/>
                <w:sz w:val="18"/>
                <w:szCs w:val="18"/>
              </w:rPr>
              <w:t xml:space="preserve">Distributions</w:t>
            </w:r>
          </w:p>
        </w:tc>
        <w:tc>
          <w:tcPr>
            <w:tcW w:type="dxa" w:w="2800"/>
            <w:tcMar>
              <w:top w:type="dxa" w:w="80"/>
              <w:left w:type="dxa" w:w="100"/>
              <w:bottom w:type="dxa" w:w="80"/>
              <w:right w:type="dxa" w:w="100"/>
            </w:tcMar>
          </w:tcPr>
          <w:p>
            <w:pPr>
              <w:jc w:val="left"/>
            </w:pPr>
            <w:r>
              <w:rPr>
                <w:b w:val="false"/>
                <w:bCs w:val="false"/>
                <w:color w:val="202020"/>
                <w:sz w:val="18"/>
                <w:szCs w:val="18"/>
              </w:rPr>
              <w:t xml:space="preserve">£100,000 profit + £50,000 exempt dividends</w:t>
            </w:r>
          </w:p>
        </w:tc>
        <w:tc>
          <w:tcPr>
            <w:tcW w:type="dxa" w:w="2446"/>
            <w:tcMar>
              <w:top w:type="dxa" w:w="80"/>
              <w:left w:type="dxa" w:w="100"/>
              <w:bottom w:type="dxa" w:w="80"/>
              <w:right w:type="dxa" w:w="100"/>
            </w:tcMar>
          </w:tcPr>
          <w:p>
            <w:pPr>
              <w:jc w:val="left"/>
            </w:pPr>
            <w:r>
              <w:rPr>
                <w:b w:val="false"/>
                <w:bCs w:val="false"/>
                <w:color w:val="202020"/>
                <w:sz w:val="18"/>
                <w:szCs w:val="18"/>
              </w:rPr>
              <w:t xml:space="preserve">£24,000</w:t>
            </w:r>
          </w:p>
        </w:tc>
        <w:tc>
          <w:tcPr>
            <w:tcW w:type="dxa" w:w="2400"/>
            <w:tcMar>
              <w:top w:type="dxa" w:w="80"/>
              <w:left w:type="dxa" w:w="100"/>
              <w:bottom w:type="dxa" w:w="80"/>
              <w:right w:type="dxa" w:w="100"/>
            </w:tcMar>
          </w:tcPr>
          <w:p>
            <w:pPr>
              <w:jc w:val="left"/>
            </w:pPr>
            <w:r>
              <w:rPr>
                <w:b w:val="false"/>
                <w:bCs w:val="false"/>
                <w:color w:val="202020"/>
                <w:sz w:val="18"/>
                <w:szCs w:val="18"/>
              </w:rPr>
              <w:t xml:space="preserve">pass</w:t>
            </w:r>
          </w:p>
        </w:tc>
      </w:tr>
      <w:tr>
        <w:tc>
          <w:tcPr>
            <w:tcW w:type="dxa" w:w="2100"/>
            <w:shd w:fill="F2F2F2" w:color="auto" w:val="clear"/>
            <w:tcMar>
              <w:top w:type="dxa" w:w="80"/>
              <w:left w:type="dxa" w:w="100"/>
              <w:bottom w:type="dxa" w:w="80"/>
              <w:right w:type="dxa" w:w="100"/>
            </w:tcMar>
          </w:tcPr>
          <w:p>
            <w:pPr>
              <w:jc w:val="left"/>
            </w:pPr>
            <w:r>
              <w:rPr>
                <w:b w:val="false"/>
                <w:bCs w:val="false"/>
                <w:color w:val="202020"/>
                <w:sz w:val="18"/>
                <w:szCs w:val="18"/>
              </w:rPr>
              <w:t xml:space="preserve">17-day period</w:t>
            </w:r>
          </w:p>
        </w:tc>
        <w:tc>
          <w:tcPr>
            <w:tcW w:type="dxa" w:w="2800"/>
            <w:shd w:fill="F2F2F2" w:color="auto" w:val="clear"/>
            <w:tcMar>
              <w:top w:type="dxa" w:w="80"/>
              <w:left w:type="dxa" w:w="100"/>
              <w:bottom w:type="dxa" w:w="80"/>
              <w:right w:type="dxa" w:w="100"/>
            </w:tcMar>
          </w:tcPr>
          <w:p>
            <w:pPr>
              <w:jc w:val="left"/>
            </w:pPr>
            <w:r>
              <w:rPr>
                <w:b w:val="false"/>
                <w:bCs w:val="false"/>
                <w:color w:val="202020"/>
                <w:sz w:val="18"/>
                <w:szCs w:val="18"/>
              </w:rPr>
              <w:t xml:space="preserve">£10,000, N=0</w:t>
            </w:r>
          </w:p>
        </w:tc>
        <w:tc>
          <w:tcPr>
            <w:tcW w:type="dxa" w:w="2446"/>
            <w:shd w:fill="F2F2F2" w:color="auto" w:val="clear"/>
            <w:tcMar>
              <w:top w:type="dxa" w:w="80"/>
              <w:left w:type="dxa" w:w="100"/>
              <w:bottom w:type="dxa" w:w="80"/>
              <w:right w:type="dxa" w:w="100"/>
            </w:tcMar>
          </w:tcPr>
          <w:p>
            <w:pPr>
              <w:jc w:val="left"/>
            </w:pPr>
            <w:r>
              <w:rPr>
                <w:b w:val="false"/>
                <w:bCs w:val="false"/>
                <w:color w:val="202020"/>
                <w:sz w:val="18"/>
                <w:szCs w:val="18"/>
              </w:rPr>
              <w:t xml:space="preserve">£2,475.34 (relief £24.66)</w:t>
            </w:r>
          </w:p>
        </w:tc>
        <w:tc>
          <w:tcPr>
            <w:tcW w:type="dxa" w:w="2400"/>
            <w:shd w:fill="F2F2F2" w:color="auto" w:val="clear"/>
            <w:tcMar>
              <w:top w:type="dxa" w:w="80"/>
              <w:left w:type="dxa" w:w="100"/>
              <w:bottom w:type="dxa" w:w="80"/>
              <w:right w:type="dxa" w:w="100"/>
            </w:tcMar>
          </w:tcPr>
          <w:p>
            <w:pPr>
              <w:jc w:val="left"/>
            </w:pPr>
            <w:r>
              <w:rPr>
                <w:b w:val="false"/>
                <w:bCs w:val="false"/>
                <w:color w:val="202020"/>
                <w:sz w:val="18"/>
                <w:szCs w:val="18"/>
              </w:rPr>
              <w:t xml:space="preserve">pass</w:t>
            </w:r>
          </w:p>
        </w:tc>
      </w:tr>
      <w:tr>
        <w:tc>
          <w:tcPr>
            <w:tcW w:type="dxa" w:w="2100"/>
            <w:tcMar>
              <w:top w:type="dxa" w:w="80"/>
              <w:left w:type="dxa" w:w="100"/>
              <w:bottom w:type="dxa" w:w="80"/>
              <w:right w:type="dxa" w:w="100"/>
            </w:tcMar>
          </w:tcPr>
          <w:p>
            <w:pPr>
              <w:jc w:val="left"/>
            </w:pPr>
            <w:r>
              <w:rPr>
                <w:b w:val="false"/>
                <w:bCs w:val="false"/>
                <w:color w:val="202020"/>
                <w:sz w:val="18"/>
                <w:szCs w:val="18"/>
              </w:rPr>
              <w:t xml:space="preserve">Losses</w:t>
            </w:r>
          </w:p>
        </w:tc>
        <w:tc>
          <w:tcPr>
            <w:tcW w:type="dxa" w:w="2800"/>
            <w:tcMar>
              <w:top w:type="dxa" w:w="80"/>
              <w:left w:type="dxa" w:w="100"/>
              <w:bottom w:type="dxa" w:w="80"/>
              <w:right w:type="dxa" w:w="100"/>
            </w:tcMar>
          </w:tcPr>
          <w:p>
            <w:pPr>
              <w:jc w:val="left"/>
            </w:pPr>
            <w:r>
              <w:rPr>
                <w:b w:val="false"/>
                <w:bCs w:val="false"/>
                <w:color w:val="202020"/>
                <w:sz w:val="18"/>
                <w:szCs w:val="18"/>
              </w:rPr>
              <w:t xml:space="preserve">b/f £20,000, current loss £5,000</w:t>
            </w:r>
          </w:p>
        </w:tc>
        <w:tc>
          <w:tcPr>
            <w:tcW w:type="dxa" w:w="2446"/>
            <w:tcMar>
              <w:top w:type="dxa" w:w="80"/>
              <w:left w:type="dxa" w:w="100"/>
              <w:bottom w:type="dxa" w:w="80"/>
              <w:right w:type="dxa" w:w="100"/>
            </w:tcMar>
          </w:tcPr>
          <w:p>
            <w:pPr>
              <w:jc w:val="left"/>
            </w:pPr>
            <w:r>
              <w:rPr>
                <w:b w:val="false"/>
                <w:bCs w:val="false"/>
                <w:color w:val="202020"/>
                <w:sz w:val="18"/>
                <w:szCs w:val="18"/>
              </w:rPr>
              <w:t xml:space="preserve">£25,000 carried forward</w:t>
            </w:r>
          </w:p>
        </w:tc>
        <w:tc>
          <w:tcPr>
            <w:tcW w:type="dxa" w:w="2400"/>
            <w:tcMar>
              <w:top w:type="dxa" w:w="80"/>
              <w:left w:type="dxa" w:w="100"/>
              <w:bottom w:type="dxa" w:w="80"/>
              <w:right w:type="dxa" w:w="100"/>
            </w:tcMar>
          </w:tcPr>
          <w:p>
            <w:pPr>
              <w:jc w:val="left"/>
            </w:pPr>
            <w:r>
              <w:rPr>
                <w:b w:val="false"/>
                <w:bCs w:val="false"/>
                <w:color w:val="202020"/>
                <w:sz w:val="18"/>
                <w:szCs w:val="18"/>
              </w:rPr>
              <w:t xml:space="preserve">pass</w:t>
            </w:r>
          </w:p>
        </w:tc>
      </w:tr>
      <w:tr>
        <w:tc>
          <w:tcPr>
            <w:tcW w:type="dxa" w:w="2100"/>
            <w:shd w:fill="F2F2F2" w:color="auto" w:val="clear"/>
            <w:tcMar>
              <w:top w:type="dxa" w:w="80"/>
              <w:left w:type="dxa" w:w="100"/>
              <w:bottom w:type="dxa" w:w="80"/>
              <w:right w:type="dxa" w:w="100"/>
            </w:tcMar>
          </w:tcPr>
          <w:p>
            <w:pPr>
              <w:jc w:val="left"/>
            </w:pPr>
            <w:r>
              <w:rPr>
                <w:b w:val="false"/>
                <w:bCs w:val="false"/>
                <w:color w:val="202020"/>
                <w:sz w:val="18"/>
                <w:szCs w:val="18"/>
              </w:rPr>
              <w:t xml:space="preserve">s455 by loan date</w:t>
            </w:r>
          </w:p>
        </w:tc>
        <w:tc>
          <w:tcPr>
            <w:tcW w:type="dxa" w:w="2800"/>
            <w:shd w:fill="F2F2F2" w:color="auto" w:val="clear"/>
            <w:tcMar>
              <w:top w:type="dxa" w:w="80"/>
              <w:left w:type="dxa" w:w="100"/>
              <w:bottom w:type="dxa" w:w="80"/>
              <w:right w:type="dxa" w:w="100"/>
            </w:tcMar>
          </w:tcPr>
          <w:p>
            <w:pPr>
              <w:jc w:val="left"/>
            </w:pPr>
            <w:r>
              <w:rPr>
                <w:b w:val="false"/>
                <w:bCs w:val="false"/>
                <w:color w:val="202020"/>
                <w:sz w:val="18"/>
                <w:szCs w:val="18"/>
              </w:rPr>
              <w:t xml:space="preserve">£10,000 on 31 Mar 2026 plus £10,000 on 6 Apr 2026</w:t>
            </w:r>
          </w:p>
        </w:tc>
        <w:tc>
          <w:tcPr>
            <w:tcW w:type="dxa" w:w="2446"/>
            <w:shd w:fill="F2F2F2" w:color="auto" w:val="clear"/>
            <w:tcMar>
              <w:top w:type="dxa" w:w="80"/>
              <w:left w:type="dxa" w:w="100"/>
              <w:bottom w:type="dxa" w:w="80"/>
              <w:right w:type="dxa" w:w="100"/>
            </w:tcMar>
          </w:tcPr>
          <w:p>
            <w:pPr>
              <w:jc w:val="left"/>
            </w:pPr>
            <w:r>
              <w:rPr>
                <w:b w:val="false"/>
                <w:bCs w:val="false"/>
                <w:color w:val="202020"/>
                <w:sz w:val="18"/>
                <w:szCs w:val="18"/>
              </w:rPr>
              <w:t xml:space="preserve">£3,375 plus £3,575</w:t>
            </w:r>
          </w:p>
        </w:tc>
        <w:tc>
          <w:tcPr>
            <w:tcW w:type="dxa" w:w="2400"/>
            <w:shd w:fill="F2F2F2" w:color="auto" w:val="clear"/>
            <w:tcMar>
              <w:top w:type="dxa" w:w="80"/>
              <w:left w:type="dxa" w:w="100"/>
              <w:bottom w:type="dxa" w:w="80"/>
              <w:right w:type="dxa" w:w="100"/>
            </w:tcMar>
          </w:tcPr>
          <w:p>
            <w:pPr>
              <w:jc w:val="left"/>
            </w:pPr>
            <w:r>
              <w:rPr>
                <w:b w:val="false"/>
                <w:bCs w:val="false"/>
                <w:color w:val="202020"/>
                <w:sz w:val="18"/>
                <w:szCs w:val="18"/>
              </w:rPr>
              <w:t xml:space="preserve">pass</w:t>
            </w:r>
          </w:p>
        </w:tc>
      </w:tr>
      <w:tr>
        <w:tc>
          <w:tcPr>
            <w:tcW w:type="dxa" w:w="2100"/>
            <w:tcMar>
              <w:top w:type="dxa" w:w="80"/>
              <w:left w:type="dxa" w:w="100"/>
              <w:bottom w:type="dxa" w:w="80"/>
              <w:right w:type="dxa" w:w="100"/>
            </w:tcMar>
          </w:tcPr>
          <w:p>
            <w:pPr>
              <w:jc w:val="left"/>
            </w:pPr>
            <w:r>
              <w:rPr>
                <w:b w:val="false"/>
                <w:bCs w:val="false"/>
                <w:color w:val="202020"/>
                <w:sz w:val="18"/>
                <w:szCs w:val="18"/>
              </w:rPr>
              <w:t xml:space="preserve">Extended period</w:t>
            </w:r>
          </w:p>
        </w:tc>
        <w:tc>
          <w:tcPr>
            <w:tcW w:type="dxa" w:w="2800"/>
            <w:tcMar>
              <w:top w:type="dxa" w:w="80"/>
              <w:left w:type="dxa" w:w="100"/>
              <w:bottom w:type="dxa" w:w="80"/>
              <w:right w:type="dxa" w:w="100"/>
            </w:tcMar>
          </w:tcPr>
          <w:p>
            <w:pPr>
              <w:jc w:val="left"/>
            </w:pPr>
            <w:r>
              <w:rPr>
                <w:b w:val="false"/>
                <w:bCs w:val="false"/>
                <w:color w:val="202020"/>
                <w:sz w:val="18"/>
                <w:szCs w:val="18"/>
              </w:rPr>
              <w:t xml:space="preserve">15 Mar 2025 to 31 Mar 2026</w:t>
            </w:r>
          </w:p>
        </w:tc>
        <w:tc>
          <w:tcPr>
            <w:tcW w:type="dxa" w:w="2446"/>
            <w:tcMar>
              <w:top w:type="dxa" w:w="80"/>
              <w:left w:type="dxa" w:w="100"/>
              <w:bottom w:type="dxa" w:w="80"/>
              <w:right w:type="dxa" w:w="100"/>
            </w:tcMar>
          </w:tcPr>
          <w:p>
            <w:pPr>
              <w:jc w:val="left"/>
            </w:pPr>
            <w:r>
              <w:rPr>
                <w:b w:val="false"/>
                <w:bCs w:val="false"/>
                <w:color w:val="202020"/>
                <w:sz w:val="18"/>
                <w:szCs w:val="18"/>
              </w:rPr>
              <w:t xml:space="preserve">382 days, split 365 plus 17</w:t>
            </w:r>
          </w:p>
        </w:tc>
        <w:tc>
          <w:tcPr>
            <w:tcW w:type="dxa" w:w="2400"/>
            <w:tcMar>
              <w:top w:type="dxa" w:w="80"/>
              <w:left w:type="dxa" w:w="100"/>
              <w:bottom w:type="dxa" w:w="80"/>
              <w:right w:type="dxa" w:w="100"/>
            </w:tcMar>
          </w:tcPr>
          <w:p>
            <w:pPr>
              <w:jc w:val="left"/>
            </w:pPr>
            <w:r>
              <w:rPr>
                <w:b w:val="false"/>
                <w:bCs w:val="false"/>
                <w:color w:val="202020"/>
                <w:sz w:val="18"/>
                <w:szCs w:val="18"/>
              </w:rPr>
              <w:t xml:space="preserve">pass</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8A1F2D" w:sz="4"/>
              <w:left w:val="single" w:color="8A1F2D" w:sz="4"/>
              <w:bottom w:val="single" w:color="8A1F2D" w:sz="4"/>
              <w:right w:val="single" w:color="8A1F2D" w:sz="4"/>
            </w:tcBorders>
            <w:shd w:fill="FCEEEE" w:color="auto" w:val="clear"/>
            <w:tcMar>
              <w:top w:type="dxa" w:w="140"/>
              <w:left w:type="dxa" w:w="200"/>
              <w:bottom w:type="dxa" w:w="140"/>
              <w:right w:type="dxa" w:w="200"/>
            </w:tcMar>
          </w:tcPr>
          <w:p>
            <w:pPr>
              <w:spacing w:after="60"/>
            </w:pPr>
            <w:r>
              <w:rPr>
                <w:b/>
                <w:bCs/>
                <w:color w:val="8A1F2D"/>
                <w:sz w:val="20"/>
                <w:szCs w:val="20"/>
              </w:rPr>
              <w:t xml:space="preserve">BUILD RULE 12.2</w:t>
            </w:r>
          </w:p>
          <w:p>
            <w:pPr>
              <w:spacing w:after="0"/>
            </w:pPr>
            <w:r>
              <w:rPr>
                <w:color w:val="202020"/>
                <w:sz w:val="20"/>
                <w:szCs w:val="20"/>
              </w:rPr>
              <w:t xml:space="preserve">Treat every row in this table, plus the two examples in Rule 3.1.13a, as permanent regression tests chained onto the ones already established in Rule 3.1.3 and Rule 3.1.11. A change that breaks any of these numbers is a defect, not a refactor, regardless of how the surrounding code changed.</w:t>
            </w:r>
          </w:p>
        </w:tc>
      </w:tr>
    </w:tbl>
    <w:p>
      <w:pPr>
        <w:pStyle w:val="Heading2"/>
        <w:spacing w:after="140" w:before="300"/>
      </w:pPr>
      <w:r>
        <w:t xml:space="preserve">12.3 VAT engine</w:t>
      </w:r>
    </w:p>
    <w:p>
      <w:pPr>
        <w:spacing w:after="150" w:line="300"/>
      </w:pPr>
      <w:r>
        <w:rPr>
          <w:color w:val="202020"/>
          <w:sz w:val="21"/>
          <w:szCs w:val="21"/>
        </w:rPr>
        <w:t xml:space="preserve">Covers the standard-method 9-box return (Rule 3.3.6), registration and deregistration monitoring (Rule 3.3.2), and the full Flat Rate Scheme including the limited-cost-business override and the capital asset reclaim test (Rule 3.3.5). The sector-rate table lists the ~54 HMRC-manual sector groupings (FRS7200); a production build should map the full ~290-name trade list onto these groupings rather than asking the user to self-select a sector, see VR-28.</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shd w:fill="1F2937" w:color="auto" w:val="clear"/>
            <w:tcMar>
              <w:top w:type="dxa" w:w="160"/>
              <w:left w:type="dxa" w:w="200"/>
              <w:bottom w:type="dxa" w:w="160"/>
              <w:right w:type="dxa" w:w="200"/>
            </w:tcMar>
          </w:tcPr>
          <w:p>
            <w:pPr>
              <w:spacing w:after="40"/>
            </w:pPr>
            <w:r>
              <w:rPr>
                <w:rFonts w:ascii="Consolas" w:cs="Consolas" w:eastAsia="Consolas" w:hAnsi="Consolas"/>
                <w:color w:val="E5E7EB"/>
                <w:sz w:val="19"/>
                <w:szCs w:val="19"/>
              </w:rPr>
              <w:t xml:space="preserve">// TaxFlow UK - reference VAT engine (executable specification).</w:t>
            </w:r>
          </w:p>
          <w:p>
            <w:pPr>
              <w:spacing w:after="40"/>
            </w:pPr>
            <w:r>
              <w:rPr>
                <w:rFonts w:ascii="Consolas" w:cs="Consolas" w:eastAsia="Consolas" w:hAnsi="Consolas"/>
                <w:color w:val="E5E7EB"/>
                <w:sz w:val="19"/>
                <w:szCs w:val="19"/>
              </w:rPr>
              <w:t xml:space="preserve">// All money is integer pence, except boxes 6-9 which HMRC's MTD API schema</w:t>
            </w:r>
          </w:p>
          <w:p>
            <w:pPr>
              <w:spacing w:after="40"/>
            </w:pPr>
            <w:r>
              <w:rPr>
                <w:rFonts w:ascii="Consolas" w:cs="Consolas" w:eastAsia="Consolas" w:hAnsi="Consolas"/>
                <w:color w:val="E5E7EB"/>
                <w:sz w:val="19"/>
                <w:szCs w:val="19"/>
              </w:rPr>
              <w:t xml:space="preserve">// requires as whole POUNDS (see Rule 3.3.6a: the whole-pound requirement is</w:t>
            </w:r>
          </w:p>
          <w:p>
            <w:pPr>
              <w:spacing w:after="40"/>
            </w:pPr>
            <w:r>
              <w:rPr>
                <w:rFonts w:ascii="Consolas" w:cs="Consolas" w:eastAsia="Consolas" w:hAnsi="Consolas"/>
                <w:color w:val="E5E7EB"/>
                <w:sz w:val="19"/>
                <w:szCs w:val="19"/>
              </w:rPr>
              <w:t xml:space="preserve">// confirmed, the rounding DIRECTION is not published anywhere by HMRC).</w:t>
            </w:r>
          </w:p>
          <w:p>
            <w:pPr>
              <w:spacing w:after="40"/>
            </w:pPr>
            <w:r>
              <w:rPr>
                <w:rFonts w:ascii="Consolas" w:cs="Consolas" w:eastAsia="Consolas" w:hAnsi="Consolas"/>
                <w:color w:val="E5E7EB"/>
                <w:sz w:val="19"/>
                <w:szCs w:val="19"/>
              </w:rPr>
              <w:t xml:space="preserve"/>
            </w:r>
          </w:p>
          <w:p>
            <w:pPr>
              <w:spacing w:after="40"/>
            </w:pPr>
            <w:r>
              <w:rPr>
                <w:rFonts w:ascii="Consolas" w:cs="Consolas" w:eastAsia="Consolas" w:hAnsi="Consolas"/>
                <w:color w:val="E5E7EB"/>
                <w:sz w:val="19"/>
                <w:szCs w:val="19"/>
              </w:rPr>
              <w:t xml:space="preserve">export type Pence = number;</w:t>
            </w:r>
          </w:p>
          <w:p>
            <w:pPr>
              <w:spacing w:after="40"/>
            </w:pPr>
            <w:r>
              <w:rPr>
                <w:rFonts w:ascii="Consolas" w:cs="Consolas" w:eastAsia="Consolas" w:hAnsi="Consolas"/>
                <w:color w:val="E5E7EB"/>
                <w:sz w:val="19"/>
                <w:szCs w:val="19"/>
              </w:rPr>
              <w:t xml:space="preserve">const roundP = (x: number): Pence =&gt; Math.round(x);</w:t>
            </w:r>
          </w:p>
          <w:p>
            <w:pPr>
              <w:spacing w:after="40"/>
            </w:pPr>
            <w:r>
              <w:rPr>
                <w:rFonts w:ascii="Consolas" w:cs="Consolas" w:eastAsia="Consolas" w:hAnsi="Consolas"/>
                <w:color w:val="E5E7EB"/>
                <w:sz w:val="19"/>
                <w:szCs w:val="19"/>
              </w:rPr>
              <w:t xml:space="preserve"/>
            </w:r>
          </w:p>
          <w:p>
            <w:pPr>
              <w:spacing w:after="40"/>
            </w:pPr>
            <w:r>
              <w:rPr>
                <w:rFonts w:ascii="Consolas" w:cs="Consolas" w:eastAsia="Consolas" w:hAnsi="Consolas"/>
                <w:color w:val="E5E7EB"/>
                <w:sz w:val="19"/>
                <w:szCs w:val="19"/>
              </w:rPr>
              <w:t xml:space="preserve">/** Box 6-9 rounding: round-half-up, matching HMRC's own stated invoice-rounding</w:t>
            </w:r>
          </w:p>
          <w:p>
            <w:pPr>
              <w:spacing w:after="40"/>
            </w:pPr>
            <w:r>
              <w:rPr>
                <w:rFonts w:ascii="Consolas" w:cs="Consolas" w:eastAsia="Consolas" w:hAnsi="Consolas"/>
                <w:color w:val="E5E7EB"/>
                <w:sz w:val="19"/>
                <w:szCs w:val="19"/>
              </w:rPr>
              <w:t xml:space="preserve"> *  principle (VATREC12010/12030: 0.5p or more rounds up). This is a documented</w:t>
            </w:r>
          </w:p>
          <w:p>
            <w:pPr>
              <w:spacing w:after="40"/>
            </w:pPr>
            <w:r>
              <w:rPr>
                <w:rFonts w:ascii="Consolas" w:cs="Consolas" w:eastAsia="Consolas" w:hAnsi="Consolas"/>
                <w:color w:val="E5E7EB"/>
                <w:sz w:val="19"/>
                <w:szCs w:val="19"/>
              </w:rPr>
              <w:t xml:space="preserve"> *  engine default, not a confirmed HMRC rule for return-box aggregation, VR-27. */</w:t>
            </w:r>
          </w:p>
          <w:p>
            <w:pPr>
              <w:spacing w:after="40"/>
            </w:pPr>
            <w:r>
              <w:rPr>
                <w:rFonts w:ascii="Consolas" w:cs="Consolas" w:eastAsia="Consolas" w:hAnsi="Consolas"/>
                <w:color w:val="E5E7EB"/>
                <w:sz w:val="19"/>
                <w:szCs w:val="19"/>
              </w:rPr>
              <w:t xml:space="preserve">export const roundToPoundHalfUp = (pence: Pence): number =&gt; Math.floor(pence / 100 + 0.5);</w:t>
            </w:r>
          </w:p>
          <w:p>
            <w:pPr>
              <w:spacing w:after="40"/>
            </w:pPr>
            <w:r>
              <w:rPr>
                <w:rFonts w:ascii="Consolas" w:cs="Consolas" w:eastAsia="Consolas" w:hAnsi="Consolas"/>
                <w:color w:val="E5E7EB"/>
                <w:sz w:val="19"/>
                <w:szCs w:val="19"/>
              </w:rPr>
              <w:t xml:space="preserve"/>
            </w:r>
          </w:p>
          <w:p>
            <w:pPr>
              <w:spacing w:after="40"/>
            </w:pPr>
            <w:r>
              <w:rPr>
                <w:rFonts w:ascii="Consolas" w:cs="Consolas" w:eastAsia="Consolas" w:hAnsi="Consolas"/>
                <w:color w:val="E5E7EB"/>
                <w:sz w:val="19"/>
                <w:szCs w:val="19"/>
              </w:rPr>
              <w:t xml:space="preserve">// ---------- standard method, 9-box return ----------</w:t>
            </w:r>
          </w:p>
          <w:p>
            <w:pPr>
              <w:spacing w:after="40"/>
            </w:pPr>
            <w:r>
              <w:rPr>
                <w:rFonts w:ascii="Consolas" w:cs="Consolas" w:eastAsia="Consolas" w:hAnsi="Consolas"/>
                <w:color w:val="E5E7EB"/>
                <w:sz w:val="19"/>
                <w:szCs w:val="19"/>
              </w:rPr>
              <w:t xml:space="preserve">export interface RatedAmount { ratePct: number; netPence: Pence } // net of VAT, by rate</w:t>
            </w:r>
          </w:p>
          <w:p>
            <w:pPr>
              <w:spacing w:after="40"/>
            </w:pPr>
            <w:r>
              <w:rPr>
                <w:rFonts w:ascii="Consolas" w:cs="Consolas" w:eastAsia="Consolas" w:hAnsi="Consolas"/>
                <w:color w:val="E5E7EB"/>
                <w:sz w:val="19"/>
                <w:szCs w:val="19"/>
              </w:rPr>
              <w:t xml:space="preserve"/>
            </w:r>
          </w:p>
          <w:p>
            <w:pPr>
              <w:spacing w:after="40"/>
            </w:pPr>
            <w:r>
              <w:rPr>
                <w:rFonts w:ascii="Consolas" w:cs="Consolas" w:eastAsia="Consolas" w:hAnsi="Consolas"/>
                <w:color w:val="E5E7EB"/>
                <w:sz w:val="19"/>
                <w:szCs w:val="19"/>
              </w:rPr>
              <w:t xml:space="preserve">export interface StandardMethodInput {</w:t>
            </w:r>
          </w:p>
          <w:p>
            <w:pPr>
              <w:spacing w:after="40"/>
            </w:pPr>
            <w:r>
              <w:rPr>
                <w:rFonts w:ascii="Consolas" w:cs="Consolas" w:eastAsia="Consolas" w:hAnsi="Consolas"/>
                <w:color w:val="E5E7EB"/>
                <w:sz w:val="19"/>
                <w:szCs w:val="19"/>
              </w:rPr>
              <w:t xml:space="preserve">  outputs: RatedAmount[];          // sales/outputs, feeds boxes 1 and 6</w:t>
            </w:r>
          </w:p>
          <w:p>
            <w:pPr>
              <w:spacing w:after="40"/>
            </w:pPr>
            <w:r>
              <w:rPr>
                <w:rFonts w:ascii="Consolas" w:cs="Consolas" w:eastAsia="Consolas" w:hAnsi="Consolas"/>
                <w:color w:val="E5E7EB"/>
                <w:sz w:val="19"/>
                <w:szCs w:val="19"/>
              </w:rPr>
              <w:t xml:space="preserve">  inputs: RatedAmount[];           // purchases/inputs, feeds boxes 4 and 7</w:t>
            </w:r>
          </w:p>
          <w:p>
            <w:pPr>
              <w:spacing w:after="40"/>
            </w:pPr>
            <w:r>
              <w:rPr>
                <w:rFonts w:ascii="Consolas" w:cs="Consolas" w:eastAsia="Consolas" w:hAnsi="Consolas"/>
                <w:color w:val="E5E7EB"/>
                <w:sz w:val="19"/>
                <w:szCs w:val="19"/>
              </w:rPr>
              <w:t xml:space="preserve">  niAcquisitionsVatPence: Pence;   // box 2: NI acquisitions of goods from the EU</w:t>
            </w:r>
          </w:p>
          <w:p>
            <w:pPr>
              <w:spacing w:after="40"/>
            </w:pPr>
            <w:r>
              <w:rPr>
                <w:rFonts w:ascii="Consolas" w:cs="Consolas" w:eastAsia="Consolas" w:hAnsi="Consolas"/>
                <w:color w:val="E5E7EB"/>
                <w:sz w:val="19"/>
                <w:szCs w:val="19"/>
              </w:rPr>
              <w:t xml:space="preserve">  niAcquisitionsNetPence: Pence;   // feeds box 9, must be a subset of box 7</w:t>
            </w:r>
          </w:p>
          <w:p>
            <w:pPr>
              <w:spacing w:after="40"/>
            </w:pPr>
            <w:r>
              <w:rPr>
                <w:rFonts w:ascii="Consolas" w:cs="Consolas" w:eastAsia="Consolas" w:hAnsi="Consolas"/>
                <w:color w:val="E5E7EB"/>
                <w:sz w:val="19"/>
                <w:szCs w:val="19"/>
              </w:rPr>
              <w:t xml:space="preserve">  niSuppliesNetPence: Pence;       // feeds box 8, must be a subset of box 6</w:t>
            </w:r>
          </w:p>
          <w:p>
            <w:pPr>
              <w:spacing w:after="40"/>
            </w:pPr>
            <w:r>
              <w:rPr>
                <w:rFonts w:ascii="Consolas" w:cs="Consolas" w:eastAsia="Consolas" w:hAnsi="Consolas"/>
                <w:color w:val="E5E7EB"/>
                <w:sz w:val="19"/>
                <w:szCs w:val="19"/>
              </w:rPr>
              <w:t xml:space="preserve">}</w:t>
            </w:r>
          </w:p>
          <w:p>
            <w:pPr>
              <w:spacing w:after="40"/>
            </w:pPr>
            <w:r>
              <w:rPr>
                <w:rFonts w:ascii="Consolas" w:cs="Consolas" w:eastAsia="Consolas" w:hAnsi="Consolas"/>
                <w:color w:val="E5E7EB"/>
                <w:sz w:val="19"/>
                <w:szCs w:val="19"/>
              </w:rPr>
              <w:t xml:space="preserve">export interface VatReturnBoxes {</w:t>
            </w:r>
          </w:p>
          <w:p>
            <w:pPr>
              <w:spacing w:after="40"/>
            </w:pPr>
            <w:r>
              <w:rPr>
                <w:rFonts w:ascii="Consolas" w:cs="Consolas" w:eastAsia="Consolas" w:hAnsi="Consolas"/>
                <w:color w:val="E5E7EB"/>
                <w:sz w:val="19"/>
                <w:szCs w:val="19"/>
              </w:rPr>
              <w:t xml:space="preserve">  box1Pence: Pence; box2Pence: Pence; box3Pence: Pence; box4Pence: Pence; box5Pence: Pence;</w:t>
            </w:r>
          </w:p>
          <w:p>
            <w:pPr>
              <w:spacing w:after="40"/>
            </w:pPr>
            <w:r>
              <w:rPr>
                <w:rFonts w:ascii="Consolas" w:cs="Consolas" w:eastAsia="Consolas" w:hAnsi="Consolas"/>
                <w:color w:val="E5E7EB"/>
                <w:sz w:val="19"/>
                <w:szCs w:val="19"/>
              </w:rPr>
              <w:t xml:space="preserve">  box6Pounds: number; box7Pounds: number; box8Pounds: number; box9Pounds: number;</w:t>
            </w:r>
          </w:p>
          <w:p>
            <w:pPr>
              <w:spacing w:after="40"/>
            </w:pPr>
            <w:r>
              <w:rPr>
                <w:rFonts w:ascii="Consolas" w:cs="Consolas" w:eastAsia="Consolas" w:hAnsi="Consolas"/>
                <w:color w:val="E5E7EB"/>
                <w:sz w:val="19"/>
                <w:szCs w:val="19"/>
              </w:rPr>
              <w:t xml:space="preserve">  warnings: string[];</w:t>
            </w:r>
          </w:p>
          <w:p>
            <w:pPr>
              <w:spacing w:after="40"/>
            </w:pPr>
            <w:r>
              <w:rPr>
                <w:rFonts w:ascii="Consolas" w:cs="Consolas" w:eastAsia="Consolas" w:hAnsi="Consolas"/>
                <w:color w:val="E5E7EB"/>
                <w:sz w:val="19"/>
                <w:szCs w:val="19"/>
              </w:rPr>
              <w:t xml:space="preserve">}</w:t>
            </w:r>
          </w:p>
          <w:p>
            <w:pPr>
              <w:spacing w:after="40"/>
            </w:pPr>
            <w:r>
              <w:rPr>
                <w:rFonts w:ascii="Consolas" w:cs="Consolas" w:eastAsia="Consolas" w:hAnsi="Consolas"/>
                <w:color w:val="E5E7EB"/>
                <w:sz w:val="19"/>
                <w:szCs w:val="19"/>
              </w:rPr>
              <w:t xml:space="preserve"/>
            </w:r>
          </w:p>
          <w:p>
            <w:pPr>
              <w:spacing w:after="40"/>
            </w:pPr>
            <w:r>
              <w:rPr>
                <w:rFonts w:ascii="Consolas" w:cs="Consolas" w:eastAsia="Consolas" w:hAnsi="Consolas"/>
                <w:color w:val="E5E7EB"/>
                <w:sz w:val="19"/>
                <w:szCs w:val="19"/>
              </w:rPr>
              <w:t xml:space="preserve">export function computeStandardMethod(i: StandardMethodInput): VatReturnBoxes {</w:t>
            </w:r>
          </w:p>
          <w:p>
            <w:pPr>
              <w:spacing w:after="40"/>
            </w:pPr>
            <w:r>
              <w:rPr>
                <w:rFonts w:ascii="Consolas" w:cs="Consolas" w:eastAsia="Consolas" w:hAnsi="Consolas"/>
                <w:color w:val="E5E7EB"/>
                <w:sz w:val="19"/>
                <w:szCs w:val="19"/>
              </w:rPr>
              <w:t xml:space="preserve">  const warnings: string[] = [];</w:t>
            </w:r>
          </w:p>
          <w:p>
            <w:pPr>
              <w:spacing w:after="40"/>
            </w:pPr>
            <w:r>
              <w:rPr>
                <w:rFonts w:ascii="Consolas" w:cs="Consolas" w:eastAsia="Consolas" w:hAnsi="Consolas"/>
                <w:color w:val="E5E7EB"/>
                <w:sz w:val="19"/>
                <w:szCs w:val="19"/>
              </w:rPr>
              <w:t xml:space="preserve">  const box1 = i.outputs.reduce((sum, o) =&gt; sum + roundP((o.netPence * o.ratePct) / 100), 0);</w:t>
            </w:r>
          </w:p>
          <w:p>
            <w:pPr>
              <w:spacing w:after="40"/>
            </w:pPr>
            <w:r>
              <w:rPr>
                <w:rFonts w:ascii="Consolas" w:cs="Consolas" w:eastAsia="Consolas" w:hAnsi="Consolas"/>
                <w:color w:val="E5E7EB"/>
                <w:sz w:val="19"/>
                <w:szCs w:val="19"/>
              </w:rPr>
              <w:t xml:space="preserve">  const box2 = i.niAcquisitionsVatPence;</w:t>
            </w:r>
          </w:p>
          <w:p>
            <w:pPr>
              <w:spacing w:after="40"/>
            </w:pPr>
            <w:r>
              <w:rPr>
                <w:rFonts w:ascii="Consolas" w:cs="Consolas" w:eastAsia="Consolas" w:hAnsi="Consolas"/>
                <w:color w:val="E5E7EB"/>
                <w:sz w:val="19"/>
                <w:szCs w:val="19"/>
              </w:rPr>
              <w:t xml:space="preserve">  const box3 = box1 + box2;</w:t>
            </w:r>
          </w:p>
          <w:p>
            <w:pPr>
              <w:spacing w:after="40"/>
            </w:pPr>
            <w:r>
              <w:rPr>
                <w:rFonts w:ascii="Consolas" w:cs="Consolas" w:eastAsia="Consolas" w:hAnsi="Consolas"/>
                <w:color w:val="E5E7EB"/>
                <w:sz w:val="19"/>
                <w:szCs w:val="19"/>
              </w:rPr>
              <w:t xml:space="preserve">  const box4 = i.inputs.reduce((sum, inp) =&gt; sum + roundP((inp.netPence * inp.ratePct) / 100), 0);</w:t>
            </w:r>
          </w:p>
          <w:p>
            <w:pPr>
              <w:spacing w:after="40"/>
            </w:pPr>
            <w:r>
              <w:rPr>
                <w:rFonts w:ascii="Consolas" w:cs="Consolas" w:eastAsia="Consolas" w:hAnsi="Consolas"/>
                <w:color w:val="E5E7EB"/>
                <w:sz w:val="19"/>
                <w:szCs w:val="19"/>
              </w:rPr>
              <w:t xml:space="preserve">  const box5 = Math.abs(box3 - box4); // always shown unsigned, Rule 3.3.6</w:t>
            </w:r>
          </w:p>
          <w:p>
            <w:pPr>
              <w:spacing w:after="40"/>
            </w:pPr>
            <w:r>
              <w:rPr>
                <w:rFonts w:ascii="Consolas" w:cs="Consolas" w:eastAsia="Consolas" w:hAnsi="Consolas"/>
                <w:color w:val="E5E7EB"/>
                <w:sz w:val="19"/>
                <w:szCs w:val="19"/>
              </w:rPr>
              <w:t xml:space="preserve">  const box6Net = i.outputs.reduce((s, o) =&gt; s + o.netPence, 0);</w:t>
            </w:r>
          </w:p>
          <w:p>
            <w:pPr>
              <w:spacing w:after="40"/>
            </w:pPr>
            <w:r>
              <w:rPr>
                <w:rFonts w:ascii="Consolas" w:cs="Consolas" w:eastAsia="Consolas" w:hAnsi="Consolas"/>
                <w:color w:val="E5E7EB"/>
                <w:sz w:val="19"/>
                <w:szCs w:val="19"/>
              </w:rPr>
              <w:t xml:space="preserve">  const box7Net = i.inputs.reduce((s, inp) =&gt; s + inp.netPence, 0);</w:t>
            </w:r>
          </w:p>
          <w:p>
            <w:pPr>
              <w:spacing w:after="40"/>
            </w:pPr>
            <w:r>
              <w:rPr>
                <w:rFonts w:ascii="Consolas" w:cs="Consolas" w:eastAsia="Consolas" w:hAnsi="Consolas"/>
                <w:color w:val="E5E7EB"/>
                <w:sz w:val="19"/>
                <w:szCs w:val="19"/>
              </w:rPr>
              <w:t xml:space="preserve">  const box6 = roundToPoundHalfUp(box6Net);</w:t>
            </w:r>
          </w:p>
          <w:p>
            <w:pPr>
              <w:spacing w:after="40"/>
            </w:pPr>
            <w:r>
              <w:rPr>
                <w:rFonts w:ascii="Consolas" w:cs="Consolas" w:eastAsia="Consolas" w:hAnsi="Consolas"/>
                <w:color w:val="E5E7EB"/>
                <w:sz w:val="19"/>
                <w:szCs w:val="19"/>
              </w:rPr>
              <w:t xml:space="preserve">  const box7 = roundToPoundHalfUp(box7Net);</w:t>
            </w:r>
          </w:p>
          <w:p>
            <w:pPr>
              <w:spacing w:after="40"/>
            </w:pPr>
            <w:r>
              <w:rPr>
                <w:rFonts w:ascii="Consolas" w:cs="Consolas" w:eastAsia="Consolas" w:hAnsi="Consolas"/>
                <w:color w:val="E5E7EB"/>
                <w:sz w:val="19"/>
                <w:szCs w:val="19"/>
              </w:rPr>
              <w:t xml:space="preserve">  const box8 = roundToPoundHalfUp(i.niSuppliesNetPence);</w:t>
            </w:r>
          </w:p>
          <w:p>
            <w:pPr>
              <w:spacing w:after="40"/>
            </w:pPr>
            <w:r>
              <w:rPr>
                <w:rFonts w:ascii="Consolas" w:cs="Consolas" w:eastAsia="Consolas" w:hAnsi="Consolas"/>
                <w:color w:val="E5E7EB"/>
                <w:sz w:val="19"/>
                <w:szCs w:val="19"/>
              </w:rPr>
              <w:t xml:space="preserve">  const box9 = roundToPoundHalfUp(i.niAcquisitionsNetPence);</w:t>
            </w:r>
          </w:p>
          <w:p>
            <w:pPr>
              <w:spacing w:after="40"/>
            </w:pPr>
            <w:r>
              <w:rPr>
                <w:rFonts w:ascii="Consolas" w:cs="Consolas" w:eastAsia="Consolas" w:hAnsi="Consolas"/>
                <w:color w:val="E5E7EB"/>
                <w:sz w:val="19"/>
                <w:szCs w:val="19"/>
              </w:rPr>
              <w:t xml:space="preserve">  if (box8 &gt; box6) warnings.push('Box 8 exceeds box 6: box 8 must be a subset of box 6, check the NI supplies figure');</w:t>
            </w:r>
          </w:p>
          <w:p>
            <w:pPr>
              <w:spacing w:after="40"/>
            </w:pPr>
            <w:r>
              <w:rPr>
                <w:rFonts w:ascii="Consolas" w:cs="Consolas" w:eastAsia="Consolas" w:hAnsi="Consolas"/>
                <w:color w:val="E5E7EB"/>
                <w:sz w:val="19"/>
                <w:szCs w:val="19"/>
              </w:rPr>
              <w:t xml:space="preserve">  if (box9 &gt; box7) warnings.push('Box 9 exceeds box 7: box 9 must be a subset of box 7, check the NI acquisitions figure');</w:t>
            </w:r>
          </w:p>
          <w:p>
            <w:pPr>
              <w:spacing w:after="40"/>
            </w:pPr>
            <w:r>
              <w:rPr>
                <w:rFonts w:ascii="Consolas" w:cs="Consolas" w:eastAsia="Consolas" w:hAnsi="Consolas"/>
                <w:color w:val="E5E7EB"/>
                <w:sz w:val="19"/>
                <w:szCs w:val="19"/>
              </w:rPr>
              <w:t xml:space="preserve">  return { box1Pence: box1, box2Pence: box2, box3Pence: box3, box4Pence: box4, box5Pence: box5,</w:t>
            </w:r>
          </w:p>
          <w:p>
            <w:pPr>
              <w:spacing w:after="40"/>
            </w:pPr>
            <w:r>
              <w:rPr>
                <w:rFonts w:ascii="Consolas" w:cs="Consolas" w:eastAsia="Consolas" w:hAnsi="Consolas"/>
                <w:color w:val="E5E7EB"/>
                <w:sz w:val="19"/>
                <w:szCs w:val="19"/>
              </w:rPr>
              <w:t xml:space="preserve">    box6Pounds: box6, box7Pounds: box7, box8Pounds: box8, box9Pounds: box9, warnings };</w:t>
            </w:r>
          </w:p>
          <w:p>
            <w:pPr>
              <w:spacing w:after="40"/>
            </w:pPr>
            <w:r>
              <w:rPr>
                <w:rFonts w:ascii="Consolas" w:cs="Consolas" w:eastAsia="Consolas" w:hAnsi="Consolas"/>
                <w:color w:val="E5E7EB"/>
                <w:sz w:val="19"/>
                <w:szCs w:val="19"/>
              </w:rPr>
              <w:t xml:space="preserve">}</w:t>
            </w:r>
          </w:p>
          <w:p>
            <w:pPr>
              <w:spacing w:after="40"/>
            </w:pPr>
            <w:r>
              <w:rPr>
                <w:rFonts w:ascii="Consolas" w:cs="Consolas" w:eastAsia="Consolas" w:hAnsi="Consolas"/>
                <w:color w:val="E5E7EB"/>
                <w:sz w:val="19"/>
                <w:szCs w:val="19"/>
              </w:rPr>
              <w:t xml:space="preserve"/>
            </w:r>
          </w:p>
          <w:p>
            <w:pPr>
              <w:spacing w:after="40"/>
            </w:pPr>
            <w:r>
              <w:rPr>
                <w:rFonts w:ascii="Consolas" w:cs="Consolas" w:eastAsia="Consolas" w:hAnsi="Consolas"/>
                <w:color w:val="E5E7EB"/>
                <w:sz w:val="19"/>
                <w:szCs w:val="19"/>
              </w:rPr>
              <w:t xml:space="preserve">// ---------- registration monitoring ----------</w:t>
            </w:r>
          </w:p>
          <w:p>
            <w:pPr>
              <w:spacing w:after="40"/>
            </w:pPr>
            <w:r>
              <w:rPr>
                <w:rFonts w:ascii="Consolas" w:cs="Consolas" w:eastAsia="Consolas" w:hAnsi="Consolas"/>
                <w:color w:val="E5E7EB"/>
                <w:sz w:val="19"/>
                <w:szCs w:val="19"/>
              </w:rPr>
              <w:t xml:space="preserve">export const VAT_REGISTRATION_THRESHOLD_PENCE = 90_000_00;</w:t>
            </w:r>
          </w:p>
          <w:p>
            <w:pPr>
              <w:spacing w:after="40"/>
            </w:pPr>
            <w:r>
              <w:rPr>
                <w:rFonts w:ascii="Consolas" w:cs="Consolas" w:eastAsia="Consolas" w:hAnsi="Consolas"/>
                <w:color w:val="E5E7EB"/>
                <w:sz w:val="19"/>
                <w:szCs w:val="19"/>
              </w:rPr>
              <w:t xml:space="preserve">export const VAT_DEREGISTRATION_THRESHOLD_PENCE = 88_000_00;</w:t>
            </w:r>
          </w:p>
          <w:p>
            <w:pPr>
              <w:spacing w:after="40"/>
            </w:pPr>
            <w:r>
              <w:rPr>
                <w:rFonts w:ascii="Consolas" w:cs="Consolas" w:eastAsia="Consolas" w:hAnsi="Consolas"/>
                <w:color w:val="E5E7EB"/>
                <w:sz w:val="19"/>
                <w:szCs w:val="19"/>
              </w:rPr>
              <w:t xml:space="preserve"/>
            </w:r>
          </w:p>
          <w:p>
            <w:pPr>
              <w:spacing w:after="40"/>
            </w:pPr>
            <w:r>
              <w:rPr>
                <w:rFonts w:ascii="Consolas" w:cs="Consolas" w:eastAsia="Consolas" w:hAnsi="Consolas"/>
                <w:color w:val="E5E7EB"/>
                <w:sz w:val="19"/>
                <w:szCs w:val="19"/>
              </w:rPr>
              <w:t xml:space="preserve">/** Rolling 12-month test plus the forward-looking 30-day test, Rule 3.3.2. */</w:t>
            </w:r>
          </w:p>
          <w:p>
            <w:pPr>
              <w:spacing w:after="40"/>
            </w:pPr>
            <w:r>
              <w:rPr>
                <w:rFonts w:ascii="Consolas" w:cs="Consolas" w:eastAsia="Consolas" w:hAnsi="Consolas"/>
                <w:color w:val="E5E7EB"/>
                <w:sz w:val="19"/>
                <w:szCs w:val="19"/>
              </w:rPr>
              <w:t xml:space="preserve">export function mustRegister(rolling12MonthTurnoverPence: Pence, next30DayForecastPence: Pence): boolean {</w:t>
            </w:r>
          </w:p>
          <w:p>
            <w:pPr>
              <w:spacing w:after="40"/>
            </w:pPr>
            <w:r>
              <w:rPr>
                <w:rFonts w:ascii="Consolas" w:cs="Consolas" w:eastAsia="Consolas" w:hAnsi="Consolas"/>
                <w:color w:val="E5E7EB"/>
                <w:sz w:val="19"/>
                <w:szCs w:val="19"/>
              </w:rPr>
              <w:t xml:space="preserve">  return rolling12MonthTurnoverPence &gt; VAT_REGISTRATION_THRESHOLD_PENCE</w:t>
            </w:r>
          </w:p>
          <w:p>
            <w:pPr>
              <w:spacing w:after="40"/>
            </w:pPr>
            <w:r>
              <w:rPr>
                <w:rFonts w:ascii="Consolas" w:cs="Consolas" w:eastAsia="Consolas" w:hAnsi="Consolas"/>
                <w:color w:val="E5E7EB"/>
                <w:sz w:val="19"/>
                <w:szCs w:val="19"/>
              </w:rPr>
              <w:t xml:space="preserve">    || next30DayForecastPence &gt; VAT_REGISTRATION_THRESHOLD_PENCE;</w:t>
            </w:r>
          </w:p>
          <w:p>
            <w:pPr>
              <w:spacing w:after="40"/>
            </w:pPr>
            <w:r>
              <w:rPr>
                <w:rFonts w:ascii="Consolas" w:cs="Consolas" w:eastAsia="Consolas" w:hAnsi="Consolas"/>
                <w:color w:val="E5E7EB"/>
                <w:sz w:val="19"/>
                <w:szCs w:val="19"/>
              </w:rPr>
              <w:t xml:space="preserve">}</w:t>
            </w:r>
          </w:p>
          <w:p>
            <w:pPr>
              <w:spacing w:after="40"/>
            </w:pPr>
            <w:r>
              <w:rPr>
                <w:rFonts w:ascii="Consolas" w:cs="Consolas" w:eastAsia="Consolas" w:hAnsi="Consolas"/>
                <w:color w:val="E5E7EB"/>
                <w:sz w:val="19"/>
                <w:szCs w:val="19"/>
              </w:rPr>
              <w:t xml:space="preserve"/>
            </w:r>
          </w:p>
          <w:p>
            <w:pPr>
              <w:spacing w:after="40"/>
            </w:pPr>
            <w:r>
              <w:rPr>
                <w:rFonts w:ascii="Consolas" w:cs="Consolas" w:eastAsia="Consolas" w:hAnsi="Consolas"/>
                <w:color w:val="E5E7EB"/>
                <w:sz w:val="19"/>
                <w:szCs w:val="19"/>
              </w:rPr>
              <w:t xml:space="preserve">// ---------- Flat Rate Scheme (VAT Notice 733) ----------</w:t>
            </w:r>
          </w:p>
          <w:p>
            <w:pPr>
              <w:spacing w:after="40"/>
            </w:pPr>
            <w:r>
              <w:rPr>
                <w:rFonts w:ascii="Consolas" w:cs="Consolas" w:eastAsia="Consolas" w:hAnsi="Consolas"/>
                <w:color w:val="E5E7EB"/>
                <w:sz w:val="19"/>
                <w:szCs w:val="19"/>
              </w:rPr>
              <w:t xml:space="preserve">export interface FrsSectorRate { sector: string; ratePct: number }</w:t>
            </w:r>
          </w:p>
          <w:p>
            <w:pPr>
              <w:spacing w:after="40"/>
            </w:pPr>
            <w:r>
              <w:rPr>
                <w:rFonts w:ascii="Consolas" w:cs="Consolas" w:eastAsia="Consolas" w:hAnsi="Consolas"/>
                <w:color w:val="E5E7EB"/>
                <w:sz w:val="19"/>
                <w:szCs w:val="19"/>
              </w:rPr>
              <w:t xml:space="preserve">export const FRS_SECTOR_RATES: FrsSectorRate[] = [</w:t>
            </w:r>
          </w:p>
          <w:p>
            <w:pPr>
              <w:spacing w:after="40"/>
            </w:pPr>
            <w:r>
              <w:rPr>
                <w:rFonts w:ascii="Consolas" w:cs="Consolas" w:eastAsia="Consolas" w:hAnsi="Consolas"/>
                <w:color w:val="E5E7EB"/>
                <w:sz w:val="19"/>
                <w:szCs w:val="19"/>
              </w:rPr>
              <w:t xml:space="preserve">  { sector: 'Accountancy or book-keeping', ratePct: 14.5 },</w:t>
            </w:r>
          </w:p>
          <w:p>
            <w:pPr>
              <w:spacing w:after="40"/>
            </w:pPr>
            <w:r>
              <w:rPr>
                <w:rFonts w:ascii="Consolas" w:cs="Consolas" w:eastAsia="Consolas" w:hAnsi="Consolas"/>
                <w:color w:val="E5E7EB"/>
                <w:sz w:val="19"/>
                <w:szCs w:val="19"/>
              </w:rPr>
              <w:t xml:space="preserve">  { sector: 'Advertising', ratePct: 11 },</w:t>
            </w:r>
          </w:p>
          <w:p>
            <w:pPr>
              <w:spacing w:after="40"/>
            </w:pPr>
            <w:r>
              <w:rPr>
                <w:rFonts w:ascii="Consolas" w:cs="Consolas" w:eastAsia="Consolas" w:hAnsi="Consolas"/>
                <w:color w:val="E5E7EB"/>
                <w:sz w:val="19"/>
                <w:szCs w:val="19"/>
              </w:rPr>
              <w:t xml:space="preserve">  { sector: 'Agricultural services', ratePct: 11 },</w:t>
            </w:r>
          </w:p>
          <w:p>
            <w:pPr>
              <w:spacing w:after="40"/>
            </w:pPr>
            <w:r>
              <w:rPr>
                <w:rFonts w:ascii="Consolas" w:cs="Consolas" w:eastAsia="Consolas" w:hAnsi="Consolas"/>
                <w:color w:val="E5E7EB"/>
                <w:sz w:val="19"/>
                <w:szCs w:val="19"/>
              </w:rPr>
              <w:t xml:space="preserve">  { sector: 'Any other activity not listed elsewhere', ratePct: 12 },</w:t>
            </w:r>
          </w:p>
          <w:p>
            <w:pPr>
              <w:spacing w:after="40"/>
            </w:pPr>
            <w:r>
              <w:rPr>
                <w:rFonts w:ascii="Consolas" w:cs="Consolas" w:eastAsia="Consolas" w:hAnsi="Consolas"/>
                <w:color w:val="E5E7EB"/>
                <w:sz w:val="19"/>
                <w:szCs w:val="19"/>
              </w:rPr>
              <w:t xml:space="preserve">  { sector: 'Architect, civil and structural engineer or surveyor', ratePct: 14.5 },</w:t>
            </w:r>
          </w:p>
          <w:p>
            <w:pPr>
              <w:spacing w:after="40"/>
            </w:pPr>
            <w:r>
              <w:rPr>
                <w:rFonts w:ascii="Consolas" w:cs="Consolas" w:eastAsia="Consolas" w:hAnsi="Consolas"/>
                <w:color w:val="E5E7EB"/>
                <w:sz w:val="19"/>
                <w:szCs w:val="19"/>
              </w:rPr>
              <w:t xml:space="preserve">  { sector: 'Boarding or care of animals', ratePct: 12 },</w:t>
            </w:r>
          </w:p>
          <w:p>
            <w:pPr>
              <w:spacing w:after="40"/>
            </w:pPr>
            <w:r>
              <w:rPr>
                <w:rFonts w:ascii="Consolas" w:cs="Consolas" w:eastAsia="Consolas" w:hAnsi="Consolas"/>
                <w:color w:val="E5E7EB"/>
                <w:sz w:val="19"/>
                <w:szCs w:val="19"/>
              </w:rPr>
              <w:t xml:space="preserve">  { sector: 'Business services not listed elsewhere', ratePct: 12 },</w:t>
            </w:r>
          </w:p>
          <w:p>
            <w:pPr>
              <w:spacing w:after="40"/>
            </w:pPr>
            <w:r>
              <w:rPr>
                <w:rFonts w:ascii="Consolas" w:cs="Consolas" w:eastAsia="Consolas" w:hAnsi="Consolas"/>
                <w:color w:val="E5E7EB"/>
                <w:sz w:val="19"/>
                <w:szCs w:val="19"/>
              </w:rPr>
              <w:t xml:space="preserve">  { sector: 'Catering services, including restaurants and takeaways', ratePct: 12.5 },</w:t>
            </w:r>
          </w:p>
          <w:p>
            <w:pPr>
              <w:spacing w:after="40"/>
            </w:pPr>
            <w:r>
              <w:rPr>
                <w:rFonts w:ascii="Consolas" w:cs="Consolas" w:eastAsia="Consolas" w:hAnsi="Consolas"/>
                <w:color w:val="E5E7EB"/>
                <w:sz w:val="19"/>
                <w:szCs w:val="19"/>
              </w:rPr>
              <w:t xml:space="preserve">  { sector: 'Computer and IT consultancy or data processing', ratePct: 14.5 },</w:t>
            </w:r>
          </w:p>
          <w:p>
            <w:pPr>
              <w:spacing w:after="40"/>
            </w:pPr>
            <w:r>
              <w:rPr>
                <w:rFonts w:ascii="Consolas" w:cs="Consolas" w:eastAsia="Consolas" w:hAnsi="Consolas"/>
                <w:color w:val="E5E7EB"/>
                <w:sz w:val="19"/>
                <w:szCs w:val="19"/>
              </w:rPr>
              <w:t xml:space="preserve">  { sector: 'Computer repair services', ratePct: 10.5 },</w:t>
            </w:r>
          </w:p>
          <w:p>
            <w:pPr>
              <w:spacing w:after="40"/>
            </w:pPr>
            <w:r>
              <w:rPr>
                <w:rFonts w:ascii="Consolas" w:cs="Consolas" w:eastAsia="Consolas" w:hAnsi="Consolas"/>
                <w:color w:val="E5E7EB"/>
                <w:sz w:val="19"/>
                <w:szCs w:val="19"/>
              </w:rPr>
              <w:t xml:space="preserve">  { sector: 'Dealing in waste or scrap', ratePct: 10.5 },</w:t>
            </w:r>
          </w:p>
          <w:p>
            <w:pPr>
              <w:spacing w:after="40"/>
            </w:pPr>
            <w:r>
              <w:rPr>
                <w:rFonts w:ascii="Consolas" w:cs="Consolas" w:eastAsia="Consolas" w:hAnsi="Consolas"/>
                <w:color w:val="E5E7EB"/>
                <w:sz w:val="19"/>
                <w:szCs w:val="19"/>
              </w:rPr>
              <w:t xml:space="preserve">  { sector: 'Entertainment or journalism', ratePct: 12.5 },</w:t>
            </w:r>
          </w:p>
          <w:p>
            <w:pPr>
              <w:spacing w:after="40"/>
            </w:pPr>
            <w:r>
              <w:rPr>
                <w:rFonts w:ascii="Consolas" w:cs="Consolas" w:eastAsia="Consolas" w:hAnsi="Consolas"/>
                <w:color w:val="E5E7EB"/>
                <w:sz w:val="19"/>
                <w:szCs w:val="19"/>
              </w:rPr>
              <w:t xml:space="preserve">  { sector: 'Estate agency or property management services', ratePct: 12 },</w:t>
            </w:r>
          </w:p>
          <w:p>
            <w:pPr>
              <w:spacing w:after="40"/>
            </w:pPr>
            <w:r>
              <w:rPr>
                <w:rFonts w:ascii="Consolas" w:cs="Consolas" w:eastAsia="Consolas" w:hAnsi="Consolas"/>
                <w:color w:val="E5E7EB"/>
                <w:sz w:val="19"/>
                <w:szCs w:val="19"/>
              </w:rPr>
              <w:t xml:space="preserve">  { sector: 'Farming or agriculture not listed elsewhere', ratePct: 6.5 },</w:t>
            </w:r>
          </w:p>
          <w:p>
            <w:pPr>
              <w:spacing w:after="40"/>
            </w:pPr>
            <w:r>
              <w:rPr>
                <w:rFonts w:ascii="Consolas" w:cs="Consolas" w:eastAsia="Consolas" w:hAnsi="Consolas"/>
                <w:color w:val="E5E7EB"/>
                <w:sz w:val="19"/>
                <w:szCs w:val="19"/>
              </w:rPr>
              <w:t xml:space="preserve">  { sector: 'Film, radio, television or video production', ratePct: 13 },</w:t>
            </w:r>
          </w:p>
          <w:p>
            <w:pPr>
              <w:spacing w:after="40"/>
            </w:pPr>
            <w:r>
              <w:rPr>
                <w:rFonts w:ascii="Consolas" w:cs="Consolas" w:eastAsia="Consolas" w:hAnsi="Consolas"/>
                <w:color w:val="E5E7EB"/>
                <w:sz w:val="19"/>
                <w:szCs w:val="19"/>
              </w:rPr>
              <w:t xml:space="preserve">  { sector: 'Financial services', ratePct: 13.5 },</w:t>
            </w:r>
          </w:p>
          <w:p>
            <w:pPr>
              <w:spacing w:after="40"/>
            </w:pPr>
            <w:r>
              <w:rPr>
                <w:rFonts w:ascii="Consolas" w:cs="Consolas" w:eastAsia="Consolas" w:hAnsi="Consolas"/>
                <w:color w:val="E5E7EB"/>
                <w:sz w:val="19"/>
                <w:szCs w:val="19"/>
              </w:rPr>
              <w:t xml:space="preserve">  { sector: 'Forestry or fishing', ratePct: 10.5 },</w:t>
            </w:r>
          </w:p>
          <w:p>
            <w:pPr>
              <w:spacing w:after="40"/>
            </w:pPr>
            <w:r>
              <w:rPr>
                <w:rFonts w:ascii="Consolas" w:cs="Consolas" w:eastAsia="Consolas" w:hAnsi="Consolas"/>
                <w:color w:val="E5E7EB"/>
                <w:sz w:val="19"/>
                <w:szCs w:val="19"/>
              </w:rPr>
              <w:t xml:space="preserve">  { sector: 'General building or construction, materials 10% or more of turnover', ratePct: 9.5 },</w:t>
            </w:r>
          </w:p>
          <w:p>
            <w:pPr>
              <w:spacing w:after="40"/>
            </w:pPr>
            <w:r>
              <w:rPr>
                <w:rFonts w:ascii="Consolas" w:cs="Consolas" w:eastAsia="Consolas" w:hAnsi="Consolas"/>
                <w:color w:val="E5E7EB"/>
                <w:sz w:val="19"/>
                <w:szCs w:val="19"/>
              </w:rPr>
              <w:t xml:space="preserve">  { sector: 'Labour-only building or construction, materials under 10% of turnover', ratePct: 14.5 },</w:t>
            </w:r>
          </w:p>
          <w:p>
            <w:pPr>
              <w:spacing w:after="40"/>
            </w:pPr>
            <w:r>
              <w:rPr>
                <w:rFonts w:ascii="Consolas" w:cs="Consolas" w:eastAsia="Consolas" w:hAnsi="Consolas"/>
                <w:color w:val="E5E7EB"/>
                <w:sz w:val="19"/>
                <w:szCs w:val="19"/>
              </w:rPr>
              <w:t xml:space="preserve">  { sector: 'Hairdressing or other beauty treatment services', ratePct: 13 },</w:t>
            </w:r>
          </w:p>
          <w:p>
            <w:pPr>
              <w:spacing w:after="40"/>
            </w:pPr>
            <w:r>
              <w:rPr>
                <w:rFonts w:ascii="Consolas" w:cs="Consolas" w:eastAsia="Consolas" w:hAnsi="Consolas"/>
                <w:color w:val="E5E7EB"/>
                <w:sz w:val="19"/>
                <w:szCs w:val="19"/>
              </w:rPr>
              <w:t xml:space="preserve">  { sector: 'Hiring or renting goods', ratePct: 9.5 },</w:t>
            </w:r>
          </w:p>
          <w:p>
            <w:pPr>
              <w:spacing w:after="40"/>
            </w:pPr>
            <w:r>
              <w:rPr>
                <w:rFonts w:ascii="Consolas" w:cs="Consolas" w:eastAsia="Consolas" w:hAnsi="Consolas"/>
                <w:color w:val="E5E7EB"/>
                <w:sz w:val="19"/>
                <w:szCs w:val="19"/>
              </w:rPr>
              <w:t xml:space="preserve">  { sector: 'Hotel or accommodation', ratePct: 10.5 },</w:t>
            </w:r>
          </w:p>
          <w:p>
            <w:pPr>
              <w:spacing w:after="40"/>
            </w:pPr>
            <w:r>
              <w:rPr>
                <w:rFonts w:ascii="Consolas" w:cs="Consolas" w:eastAsia="Consolas" w:hAnsi="Consolas"/>
                <w:color w:val="E5E7EB"/>
                <w:sz w:val="19"/>
                <w:szCs w:val="19"/>
              </w:rPr>
              <w:t xml:space="preserve">  { sector: 'Investigation or security', ratePct: 12 },</w:t>
            </w:r>
          </w:p>
          <w:p>
            <w:pPr>
              <w:spacing w:after="40"/>
            </w:pPr>
            <w:r>
              <w:rPr>
                <w:rFonts w:ascii="Consolas" w:cs="Consolas" w:eastAsia="Consolas" w:hAnsi="Consolas"/>
                <w:color w:val="E5E7EB"/>
                <w:sz w:val="19"/>
                <w:szCs w:val="19"/>
              </w:rPr>
              <w:t xml:space="preserve">  { sector: 'Laundry or dry cleaning services', ratePct: 12 },</w:t>
            </w:r>
          </w:p>
          <w:p>
            <w:pPr>
              <w:spacing w:after="40"/>
            </w:pPr>
            <w:r>
              <w:rPr>
                <w:rFonts w:ascii="Consolas" w:cs="Consolas" w:eastAsia="Consolas" w:hAnsi="Consolas"/>
                <w:color w:val="E5E7EB"/>
                <w:sz w:val="19"/>
                <w:szCs w:val="19"/>
              </w:rPr>
              <w:t xml:space="preserve">  { sector: 'Lawyer or legal services', ratePct: 14.5 },</w:t>
            </w:r>
          </w:p>
          <w:p>
            <w:pPr>
              <w:spacing w:after="40"/>
            </w:pPr>
            <w:r>
              <w:rPr>
                <w:rFonts w:ascii="Consolas" w:cs="Consolas" w:eastAsia="Consolas" w:hAnsi="Consolas"/>
                <w:color w:val="E5E7EB"/>
                <w:sz w:val="19"/>
                <w:szCs w:val="19"/>
              </w:rPr>
              <w:t xml:space="preserve">  { sector: 'Library, archive, museum or other cultural activity', ratePct: 9.5 },</w:t>
            </w:r>
          </w:p>
          <w:p>
            <w:pPr>
              <w:spacing w:after="40"/>
            </w:pPr>
            <w:r>
              <w:rPr>
                <w:rFonts w:ascii="Consolas" w:cs="Consolas" w:eastAsia="Consolas" w:hAnsi="Consolas"/>
                <w:color w:val="E5E7EB"/>
                <w:sz w:val="19"/>
                <w:szCs w:val="19"/>
              </w:rPr>
              <w:t xml:space="preserve">  { sector: 'Management consultancy', ratePct: 14 },</w:t>
            </w:r>
          </w:p>
          <w:p>
            <w:pPr>
              <w:spacing w:after="40"/>
            </w:pPr>
            <w:r>
              <w:rPr>
                <w:rFonts w:ascii="Consolas" w:cs="Consolas" w:eastAsia="Consolas" w:hAnsi="Consolas"/>
                <w:color w:val="E5E7EB"/>
                <w:sz w:val="19"/>
                <w:szCs w:val="19"/>
              </w:rPr>
              <w:t xml:space="preserve">  { sector: 'Manufacturing fabricated metal products', ratePct: 10.5 },</w:t>
            </w:r>
          </w:p>
          <w:p>
            <w:pPr>
              <w:spacing w:after="40"/>
            </w:pPr>
            <w:r>
              <w:rPr>
                <w:rFonts w:ascii="Consolas" w:cs="Consolas" w:eastAsia="Consolas" w:hAnsi="Consolas"/>
                <w:color w:val="E5E7EB"/>
                <w:sz w:val="19"/>
                <w:szCs w:val="19"/>
              </w:rPr>
              <w:t xml:space="preserve">  { sector: 'Manufacturing food', ratePct: 9 },</w:t>
            </w:r>
          </w:p>
          <w:p>
            <w:pPr>
              <w:spacing w:after="40"/>
            </w:pPr>
            <w:r>
              <w:rPr>
                <w:rFonts w:ascii="Consolas" w:cs="Consolas" w:eastAsia="Consolas" w:hAnsi="Consolas"/>
                <w:color w:val="E5E7EB"/>
                <w:sz w:val="19"/>
                <w:szCs w:val="19"/>
              </w:rPr>
              <w:t xml:space="preserve">  { sector: 'Manufacturing yarn, textiles or clothing', ratePct: 9 },</w:t>
            </w:r>
          </w:p>
          <w:p>
            <w:pPr>
              <w:spacing w:after="40"/>
            </w:pPr>
            <w:r>
              <w:rPr>
                <w:rFonts w:ascii="Consolas" w:cs="Consolas" w:eastAsia="Consolas" w:hAnsi="Consolas"/>
                <w:color w:val="E5E7EB"/>
                <w:sz w:val="19"/>
                <w:szCs w:val="19"/>
              </w:rPr>
              <w:t xml:space="preserve">  { sector: 'Manufacturing not listed elsewhere', ratePct: 9.5 },</w:t>
            </w:r>
          </w:p>
          <w:p>
            <w:pPr>
              <w:spacing w:after="40"/>
            </w:pPr>
            <w:r>
              <w:rPr>
                <w:rFonts w:ascii="Consolas" w:cs="Consolas" w:eastAsia="Consolas" w:hAnsi="Consolas"/>
                <w:color w:val="E5E7EB"/>
                <w:sz w:val="19"/>
                <w:szCs w:val="19"/>
              </w:rPr>
              <w:t xml:space="preserve">  { sector: 'Membership organisation', ratePct: 8 },</w:t>
            </w:r>
          </w:p>
          <w:p>
            <w:pPr>
              <w:spacing w:after="40"/>
            </w:pPr>
            <w:r>
              <w:rPr>
                <w:rFonts w:ascii="Consolas" w:cs="Consolas" w:eastAsia="Consolas" w:hAnsi="Consolas"/>
                <w:color w:val="E5E7EB"/>
                <w:sz w:val="19"/>
                <w:szCs w:val="19"/>
              </w:rPr>
              <w:t xml:space="preserve">  { sector: 'Mining or quarrying', ratePct: 10 },</w:t>
            </w:r>
          </w:p>
          <w:p>
            <w:pPr>
              <w:spacing w:after="40"/>
            </w:pPr>
            <w:r>
              <w:rPr>
                <w:rFonts w:ascii="Consolas" w:cs="Consolas" w:eastAsia="Consolas" w:hAnsi="Consolas"/>
                <w:color w:val="E5E7EB"/>
                <w:sz w:val="19"/>
                <w:szCs w:val="19"/>
              </w:rPr>
              <w:t xml:space="preserve">  { sector: 'Packaging', ratePct: 9 },</w:t>
            </w:r>
          </w:p>
          <w:p>
            <w:pPr>
              <w:spacing w:after="40"/>
            </w:pPr>
            <w:r>
              <w:rPr>
                <w:rFonts w:ascii="Consolas" w:cs="Consolas" w:eastAsia="Consolas" w:hAnsi="Consolas"/>
                <w:color w:val="E5E7EB"/>
                <w:sz w:val="19"/>
                <w:szCs w:val="19"/>
              </w:rPr>
              <w:t xml:space="preserve">  { sector: 'Photography', ratePct: 11 },</w:t>
            </w:r>
          </w:p>
          <w:p>
            <w:pPr>
              <w:spacing w:after="40"/>
            </w:pPr>
            <w:r>
              <w:rPr>
                <w:rFonts w:ascii="Consolas" w:cs="Consolas" w:eastAsia="Consolas" w:hAnsi="Consolas"/>
                <w:color w:val="E5E7EB"/>
                <w:sz w:val="19"/>
                <w:szCs w:val="19"/>
              </w:rPr>
              <w:t xml:space="preserve">  { sector: 'Post offices', ratePct: 5 },</w:t>
            </w:r>
          </w:p>
          <w:p>
            <w:pPr>
              <w:spacing w:after="40"/>
            </w:pPr>
            <w:r>
              <w:rPr>
                <w:rFonts w:ascii="Consolas" w:cs="Consolas" w:eastAsia="Consolas" w:hAnsi="Consolas"/>
                <w:color w:val="E5E7EB"/>
                <w:sz w:val="19"/>
                <w:szCs w:val="19"/>
              </w:rPr>
              <w:t xml:space="preserve">  { sector: 'Printing', ratePct: 8.5 },</w:t>
            </w:r>
          </w:p>
          <w:p>
            <w:pPr>
              <w:spacing w:after="40"/>
            </w:pPr>
            <w:r>
              <w:rPr>
                <w:rFonts w:ascii="Consolas" w:cs="Consolas" w:eastAsia="Consolas" w:hAnsi="Consolas"/>
                <w:color w:val="E5E7EB"/>
                <w:sz w:val="19"/>
                <w:szCs w:val="19"/>
              </w:rPr>
              <w:t xml:space="preserve">  { sector: 'Pubs', ratePct: 6.5 },</w:t>
            </w:r>
          </w:p>
          <w:p>
            <w:pPr>
              <w:spacing w:after="40"/>
            </w:pPr>
            <w:r>
              <w:rPr>
                <w:rFonts w:ascii="Consolas" w:cs="Consolas" w:eastAsia="Consolas" w:hAnsi="Consolas"/>
                <w:color w:val="E5E7EB"/>
                <w:sz w:val="19"/>
                <w:szCs w:val="19"/>
              </w:rPr>
              <w:t xml:space="preserve">  { sector: 'Publishing', ratePct: 11 },</w:t>
            </w:r>
          </w:p>
          <w:p>
            <w:pPr>
              <w:spacing w:after="40"/>
            </w:pPr>
            <w:r>
              <w:rPr>
                <w:rFonts w:ascii="Consolas" w:cs="Consolas" w:eastAsia="Consolas" w:hAnsi="Consolas"/>
                <w:color w:val="E5E7EB"/>
                <w:sz w:val="19"/>
                <w:szCs w:val="19"/>
              </w:rPr>
              <w:t xml:space="preserve">  { sector: 'Real estate activity not listed elsewhere', ratePct: 14 },</w:t>
            </w:r>
          </w:p>
          <w:p>
            <w:pPr>
              <w:spacing w:after="40"/>
            </w:pPr>
            <w:r>
              <w:rPr>
                <w:rFonts w:ascii="Consolas" w:cs="Consolas" w:eastAsia="Consolas" w:hAnsi="Consolas"/>
                <w:color w:val="E5E7EB"/>
                <w:sz w:val="19"/>
                <w:szCs w:val="19"/>
              </w:rPr>
              <w:t xml:space="preserve">  { sector: 'Repairing personal or household goods', ratePct: 10 },</w:t>
            </w:r>
          </w:p>
          <w:p>
            <w:pPr>
              <w:spacing w:after="40"/>
            </w:pPr>
            <w:r>
              <w:rPr>
                <w:rFonts w:ascii="Consolas" w:cs="Consolas" w:eastAsia="Consolas" w:hAnsi="Consolas"/>
                <w:color w:val="E5E7EB"/>
                <w:sz w:val="19"/>
                <w:szCs w:val="19"/>
              </w:rPr>
              <w:t xml:space="preserve">  { sector: 'Repairing vehicles', ratePct: 8.5 },</w:t>
            </w:r>
          </w:p>
          <w:p>
            <w:pPr>
              <w:spacing w:after="40"/>
            </w:pPr>
            <w:r>
              <w:rPr>
                <w:rFonts w:ascii="Consolas" w:cs="Consolas" w:eastAsia="Consolas" w:hAnsi="Consolas"/>
                <w:color w:val="E5E7EB"/>
                <w:sz w:val="19"/>
                <w:szCs w:val="19"/>
              </w:rPr>
              <w:t xml:space="preserve">  { sector: 'Retailing food, confectionery, tobacco, newspapers or children’s clothing', ratePct: 4 },</w:t>
            </w:r>
          </w:p>
          <w:p>
            <w:pPr>
              <w:spacing w:after="40"/>
            </w:pPr>
            <w:r>
              <w:rPr>
                <w:rFonts w:ascii="Consolas" w:cs="Consolas" w:eastAsia="Consolas" w:hAnsi="Consolas"/>
                <w:color w:val="E5E7EB"/>
                <w:sz w:val="19"/>
                <w:szCs w:val="19"/>
              </w:rPr>
              <w:t xml:space="preserve">  { sector: 'Retailing pharmaceuticals, medical goods, cosmetics or toiletries', ratePct: 8 },</w:t>
            </w:r>
          </w:p>
          <w:p>
            <w:pPr>
              <w:spacing w:after="40"/>
            </w:pPr>
            <w:r>
              <w:rPr>
                <w:rFonts w:ascii="Consolas" w:cs="Consolas" w:eastAsia="Consolas" w:hAnsi="Consolas"/>
                <w:color w:val="E5E7EB"/>
                <w:sz w:val="19"/>
                <w:szCs w:val="19"/>
              </w:rPr>
              <w:t xml:space="preserve">  { sector: 'Retailing vehicles or fuel', ratePct: 6.5 },</w:t>
            </w:r>
          </w:p>
          <w:p>
            <w:pPr>
              <w:spacing w:after="40"/>
            </w:pPr>
            <w:r>
              <w:rPr>
                <w:rFonts w:ascii="Consolas" w:cs="Consolas" w:eastAsia="Consolas" w:hAnsi="Consolas"/>
                <w:color w:val="E5E7EB"/>
                <w:sz w:val="19"/>
                <w:szCs w:val="19"/>
              </w:rPr>
              <w:t xml:space="preserve">  { sector: 'Retailing not listed elsewhere', ratePct: 7.5 },</w:t>
            </w:r>
          </w:p>
          <w:p>
            <w:pPr>
              <w:spacing w:after="40"/>
            </w:pPr>
            <w:r>
              <w:rPr>
                <w:rFonts w:ascii="Consolas" w:cs="Consolas" w:eastAsia="Consolas" w:hAnsi="Consolas"/>
                <w:color w:val="E5E7EB"/>
                <w:sz w:val="19"/>
                <w:szCs w:val="19"/>
              </w:rPr>
              <w:t xml:space="preserve">  { sector: 'Secretarial services', ratePct: 13 },</w:t>
            </w:r>
          </w:p>
          <w:p>
            <w:pPr>
              <w:spacing w:after="40"/>
            </w:pPr>
            <w:r>
              <w:rPr>
                <w:rFonts w:ascii="Consolas" w:cs="Consolas" w:eastAsia="Consolas" w:hAnsi="Consolas"/>
                <w:color w:val="E5E7EB"/>
                <w:sz w:val="19"/>
                <w:szCs w:val="19"/>
              </w:rPr>
              <w:t xml:space="preserve">  { sector: 'Social work', ratePct: 11 },</w:t>
            </w:r>
          </w:p>
          <w:p>
            <w:pPr>
              <w:spacing w:after="40"/>
            </w:pPr>
            <w:r>
              <w:rPr>
                <w:rFonts w:ascii="Consolas" w:cs="Consolas" w:eastAsia="Consolas" w:hAnsi="Consolas"/>
                <w:color w:val="E5E7EB"/>
                <w:sz w:val="19"/>
                <w:szCs w:val="19"/>
              </w:rPr>
              <w:t xml:space="preserve">  { sector: 'Sport or recreation', ratePct: 8.5 },</w:t>
            </w:r>
          </w:p>
          <w:p>
            <w:pPr>
              <w:spacing w:after="40"/>
            </w:pPr>
            <w:r>
              <w:rPr>
                <w:rFonts w:ascii="Consolas" w:cs="Consolas" w:eastAsia="Consolas" w:hAnsi="Consolas"/>
                <w:color w:val="E5E7EB"/>
                <w:sz w:val="19"/>
                <w:szCs w:val="19"/>
              </w:rPr>
              <w:t xml:space="preserve">  { sector: 'Transport or storage, including couriers, freight, removals and taxis', ratePct: 10 },</w:t>
            </w:r>
          </w:p>
          <w:p>
            <w:pPr>
              <w:spacing w:after="40"/>
            </w:pPr>
            <w:r>
              <w:rPr>
                <w:rFonts w:ascii="Consolas" w:cs="Consolas" w:eastAsia="Consolas" w:hAnsi="Consolas"/>
                <w:color w:val="E5E7EB"/>
                <w:sz w:val="19"/>
                <w:szCs w:val="19"/>
              </w:rPr>
              <w:t xml:space="preserve">  { sector: 'Travel agency', ratePct: 10.5 },</w:t>
            </w:r>
          </w:p>
          <w:p>
            <w:pPr>
              <w:spacing w:after="40"/>
            </w:pPr>
            <w:r>
              <w:rPr>
                <w:rFonts w:ascii="Consolas" w:cs="Consolas" w:eastAsia="Consolas" w:hAnsi="Consolas"/>
                <w:color w:val="E5E7EB"/>
                <w:sz w:val="19"/>
                <w:szCs w:val="19"/>
              </w:rPr>
              <w:t xml:space="preserve">  { sector: 'Veterinary medicine', ratePct: 11 },</w:t>
            </w:r>
          </w:p>
          <w:p>
            <w:pPr>
              <w:spacing w:after="40"/>
            </w:pPr>
            <w:r>
              <w:rPr>
                <w:rFonts w:ascii="Consolas" w:cs="Consolas" w:eastAsia="Consolas" w:hAnsi="Consolas"/>
                <w:color w:val="E5E7EB"/>
                <w:sz w:val="19"/>
                <w:szCs w:val="19"/>
              </w:rPr>
              <w:t xml:space="preserve">  { sector: 'Wholesaling agricultural products', ratePct: 8 },</w:t>
            </w:r>
          </w:p>
          <w:p>
            <w:pPr>
              <w:spacing w:after="40"/>
            </w:pPr>
            <w:r>
              <w:rPr>
                <w:rFonts w:ascii="Consolas" w:cs="Consolas" w:eastAsia="Consolas" w:hAnsi="Consolas"/>
                <w:color w:val="E5E7EB"/>
                <w:sz w:val="19"/>
                <w:szCs w:val="19"/>
              </w:rPr>
              <w:t xml:space="preserve">  { sector: 'Wholesaling food', ratePct: 7.5 },</w:t>
            </w:r>
          </w:p>
          <w:p>
            <w:pPr>
              <w:spacing w:after="40"/>
            </w:pPr>
            <w:r>
              <w:rPr>
                <w:rFonts w:ascii="Consolas" w:cs="Consolas" w:eastAsia="Consolas" w:hAnsi="Consolas"/>
                <w:color w:val="E5E7EB"/>
                <w:sz w:val="19"/>
                <w:szCs w:val="19"/>
              </w:rPr>
              <w:t xml:space="preserve">  { sector: 'Wholesaling not listed elsewhere', ratePct: 8.5 },</w:t>
            </w:r>
          </w:p>
          <w:p>
            <w:pPr>
              <w:spacing w:after="40"/>
            </w:pPr>
            <w:r>
              <w:rPr>
                <w:rFonts w:ascii="Consolas" w:cs="Consolas" w:eastAsia="Consolas" w:hAnsi="Consolas"/>
                <w:color w:val="E5E7EB"/>
                <w:sz w:val="19"/>
                <w:szCs w:val="19"/>
              </w:rPr>
              <w:t xml:space="preserve">];</w:t>
            </w:r>
          </w:p>
          <w:p>
            <w:pPr>
              <w:spacing w:after="40"/>
            </w:pPr>
            <w:r>
              <w:rPr>
                <w:rFonts w:ascii="Consolas" w:cs="Consolas" w:eastAsia="Consolas" w:hAnsi="Consolas"/>
                <w:color w:val="E5E7EB"/>
                <w:sz w:val="19"/>
                <w:szCs w:val="19"/>
              </w:rPr>
              <w:t xml:space="preserve">// Source: HMRC internal manual FRS7200, the full A-Z of ~290 trade names maps onto</w:t>
            </w:r>
          </w:p>
          <w:p>
            <w:pPr>
              <w:spacing w:after="40"/>
            </w:pPr>
            <w:r>
              <w:rPr>
                <w:rFonts w:ascii="Consolas" w:cs="Consolas" w:eastAsia="Consolas" w:hAnsi="Consolas"/>
                <w:color w:val="E5E7EB"/>
                <w:sz w:val="19"/>
                <w:szCs w:val="19"/>
              </w:rPr>
              <w:t xml:space="preserve">// these ~54 sectors, a production lookup should use the full trade-level table, VR-28.</w:t>
            </w:r>
          </w:p>
          <w:p>
            <w:pPr>
              <w:spacing w:after="40"/>
            </w:pPr>
            <w:r>
              <w:rPr>
                <w:rFonts w:ascii="Consolas" w:cs="Consolas" w:eastAsia="Consolas" w:hAnsi="Consolas"/>
                <w:color w:val="E5E7EB"/>
                <w:sz w:val="19"/>
                <w:szCs w:val="19"/>
              </w:rPr>
              <w:t xml:space="preserve"/>
            </w:r>
          </w:p>
          <w:p>
            <w:pPr>
              <w:spacing w:after="40"/>
            </w:pPr>
            <w:r>
              <w:rPr>
                <w:rFonts w:ascii="Consolas" w:cs="Consolas" w:eastAsia="Consolas" w:hAnsi="Consolas"/>
                <w:color w:val="E5E7EB"/>
                <w:sz w:val="19"/>
                <w:szCs w:val="19"/>
              </w:rPr>
              <w:t xml:space="preserve">export const FRS_LIMITED_COST_RATE_PCT = 16.5;</w:t>
            </w:r>
          </w:p>
          <w:p>
            <w:pPr>
              <w:spacing w:after="40"/>
            </w:pPr>
            <w:r>
              <w:rPr>
                <w:rFonts w:ascii="Consolas" w:cs="Consolas" w:eastAsia="Consolas" w:hAnsi="Consolas"/>
                <w:color w:val="E5E7EB"/>
                <w:sz w:val="19"/>
                <w:szCs w:val="19"/>
              </w:rPr>
              <w:t xml:space="preserve">export const FRS_JOIN_LIMIT_EXCL_VAT_PENCE = 150_000_00;</w:t>
            </w:r>
          </w:p>
          <w:p>
            <w:pPr>
              <w:spacing w:after="40"/>
            </w:pPr>
            <w:r>
              <w:rPr>
                <w:rFonts w:ascii="Consolas" w:cs="Consolas" w:eastAsia="Consolas" w:hAnsi="Consolas"/>
                <w:color w:val="E5E7EB"/>
                <w:sz w:val="19"/>
                <w:szCs w:val="19"/>
              </w:rPr>
              <w:t xml:space="preserve">export const FRS_LEAVE_LIMIT_INCL_VAT_PENCE = 230_000_00;</w:t>
            </w:r>
          </w:p>
          <w:p>
            <w:pPr>
              <w:spacing w:after="40"/>
            </w:pPr>
            <w:r>
              <w:rPr>
                <w:rFonts w:ascii="Consolas" w:cs="Consolas" w:eastAsia="Consolas" w:hAnsi="Consolas"/>
                <w:color w:val="E5E7EB"/>
                <w:sz w:val="19"/>
                <w:szCs w:val="19"/>
              </w:rPr>
              <w:t xml:space="preserve">export const FRS_STAY_EXCEPTION_FORECAST_PENCE = 191_500_00;</w:t>
            </w:r>
          </w:p>
          <w:p>
            <w:pPr>
              <w:spacing w:after="40"/>
            </w:pPr>
            <w:r>
              <w:rPr>
                <w:rFonts w:ascii="Consolas" w:cs="Consolas" w:eastAsia="Consolas" w:hAnsi="Consolas"/>
                <w:color w:val="E5E7EB"/>
                <w:sz w:val="19"/>
                <w:szCs w:val="19"/>
              </w:rPr>
              <w:t xml:space="preserve">export const FRS_CAPITAL_ASSET_THRESHOLD_INCL_VAT_PENCE = 2_000_00;</w:t>
            </w:r>
          </w:p>
          <w:p>
            <w:pPr>
              <w:spacing w:after="40"/>
            </w:pPr>
            <w:r>
              <w:rPr>
                <w:rFonts w:ascii="Consolas" w:cs="Consolas" w:eastAsia="Consolas" w:hAnsi="Consolas"/>
                <w:color w:val="E5E7EB"/>
                <w:sz w:val="19"/>
                <w:szCs w:val="19"/>
              </w:rPr>
              <w:t xml:space="preserve"/>
            </w:r>
          </w:p>
          <w:p>
            <w:pPr>
              <w:spacing w:after="40"/>
            </w:pPr>
            <w:r>
              <w:rPr>
                <w:rFonts w:ascii="Consolas" w:cs="Consolas" w:eastAsia="Consolas" w:hAnsi="Consolas"/>
                <w:color w:val="E5E7EB"/>
                <w:sz w:val="19"/>
                <w:szCs w:val="19"/>
              </w:rPr>
              <w:t xml:space="preserve">/** Notice 733 s4.4: below 2% of turnover, OR 2% or more but below the absolute</w:t>
            </w:r>
          </w:p>
          <w:p>
            <w:pPr>
              <w:spacing w:after="40"/>
            </w:pPr>
            <w:r>
              <w:rPr>
                <w:rFonts w:ascii="Consolas" w:cs="Consolas" w:eastAsia="Consolas" w:hAnsi="Consolas"/>
                <w:color w:val="E5E7EB"/>
                <w:sz w:val="19"/>
                <w:szCs w:val="19"/>
              </w:rPr>
              <w:t xml:space="preserve"> *  minimum (annualised £1,000, or £250 for a quarterly period). */</w:t>
            </w:r>
          </w:p>
          <w:p>
            <w:pPr>
              <w:spacing w:after="40"/>
            </w:pPr>
            <w:r>
              <w:rPr>
                <w:rFonts w:ascii="Consolas" w:cs="Consolas" w:eastAsia="Consolas" w:hAnsi="Consolas"/>
                <w:color w:val="E5E7EB"/>
                <w:sz w:val="19"/>
                <w:szCs w:val="19"/>
              </w:rPr>
              <w:t xml:space="preserve">export function isLimitedCostBusiness(</w:t>
            </w:r>
          </w:p>
          <w:p>
            <w:pPr>
              <w:spacing w:after="40"/>
            </w:pPr>
            <w:r>
              <w:rPr>
                <w:rFonts w:ascii="Consolas" w:cs="Consolas" w:eastAsia="Consolas" w:hAnsi="Consolas"/>
                <w:color w:val="E5E7EB"/>
                <w:sz w:val="19"/>
                <w:szCs w:val="19"/>
              </w:rPr>
              <w:t xml:space="preserve">  flatRateTurnoverInclVatPence: Pence,</w:t>
            </w:r>
          </w:p>
          <w:p>
            <w:pPr>
              <w:spacing w:after="40"/>
            </w:pPr>
            <w:r>
              <w:rPr>
                <w:rFonts w:ascii="Consolas" w:cs="Consolas" w:eastAsia="Consolas" w:hAnsi="Consolas"/>
                <w:color w:val="E5E7EB"/>
                <w:sz w:val="19"/>
                <w:szCs w:val="19"/>
              </w:rPr>
              <w:t xml:space="preserve">  relevantGoodsSpendInclVatPence: Pence,</w:t>
            </w:r>
          </w:p>
          <w:p>
            <w:pPr>
              <w:spacing w:after="40"/>
            </w:pPr>
            <w:r>
              <w:rPr>
                <w:rFonts w:ascii="Consolas" w:cs="Consolas" w:eastAsia="Consolas" w:hAnsi="Consolas"/>
                <w:color w:val="E5E7EB"/>
                <w:sz w:val="19"/>
                <w:szCs w:val="19"/>
              </w:rPr>
              <w:t xml:space="preserve">  periodIsQuarterly: boolean,</w:t>
            </w:r>
          </w:p>
          <w:p>
            <w:pPr>
              <w:spacing w:after="40"/>
            </w:pPr>
            <w:r>
              <w:rPr>
                <w:rFonts w:ascii="Consolas" w:cs="Consolas" w:eastAsia="Consolas" w:hAnsi="Consolas"/>
                <w:color w:val="E5E7EB"/>
                <w:sz w:val="19"/>
                <w:szCs w:val="19"/>
              </w:rPr>
              <w:t xml:space="preserve">): boolean {</w:t>
            </w:r>
          </w:p>
          <w:p>
            <w:pPr>
              <w:spacing w:after="40"/>
            </w:pPr>
            <w:r>
              <w:rPr>
                <w:rFonts w:ascii="Consolas" w:cs="Consolas" w:eastAsia="Consolas" w:hAnsi="Consolas"/>
                <w:color w:val="E5E7EB"/>
                <w:sz w:val="19"/>
                <w:szCs w:val="19"/>
              </w:rPr>
              <w:t xml:space="preserve">  const twoPercent = flatRateTurnoverInclVatPence * 0.02;</w:t>
            </w:r>
          </w:p>
          <w:p>
            <w:pPr>
              <w:spacing w:after="40"/>
            </w:pPr>
            <w:r>
              <w:rPr>
                <w:rFonts w:ascii="Consolas" w:cs="Consolas" w:eastAsia="Consolas" w:hAnsi="Consolas"/>
                <w:color w:val="E5E7EB"/>
                <w:sz w:val="19"/>
                <w:szCs w:val="19"/>
              </w:rPr>
              <w:t xml:space="preserve">  const minAbsolute = periodIsQuarterly ? 250_00 : 1_000_00;</w:t>
            </w:r>
          </w:p>
          <w:p>
            <w:pPr>
              <w:spacing w:after="40"/>
            </w:pPr>
            <w:r>
              <w:rPr>
                <w:rFonts w:ascii="Consolas" w:cs="Consolas" w:eastAsia="Consolas" w:hAnsi="Consolas"/>
                <w:color w:val="E5E7EB"/>
                <w:sz w:val="19"/>
                <w:szCs w:val="19"/>
              </w:rPr>
              <w:t xml:space="preserve">  const belowTwoPercent = relevantGoodsSpendInclVatPence &lt; twoPercent;</w:t>
            </w:r>
          </w:p>
          <w:p>
            <w:pPr>
              <w:spacing w:after="40"/>
            </w:pPr>
            <w:r>
              <w:rPr>
                <w:rFonts w:ascii="Consolas" w:cs="Consolas" w:eastAsia="Consolas" w:hAnsi="Consolas"/>
                <w:color w:val="E5E7EB"/>
                <w:sz w:val="19"/>
                <w:szCs w:val="19"/>
              </w:rPr>
              <w:t xml:space="preserve">  const aboveTwoPercentButBelowMinimum =</w:t>
            </w:r>
          </w:p>
          <w:p>
            <w:pPr>
              <w:spacing w:after="40"/>
            </w:pPr>
            <w:r>
              <w:rPr>
                <w:rFonts w:ascii="Consolas" w:cs="Consolas" w:eastAsia="Consolas" w:hAnsi="Consolas"/>
                <w:color w:val="E5E7EB"/>
                <w:sz w:val="19"/>
                <w:szCs w:val="19"/>
              </w:rPr>
              <w:t xml:space="preserve">    relevantGoodsSpendInclVatPence &gt;= twoPercent &amp;&amp; relevantGoodsSpendInclVatPence &lt; minAbsolute;</w:t>
            </w:r>
          </w:p>
          <w:p>
            <w:pPr>
              <w:spacing w:after="40"/>
            </w:pPr>
            <w:r>
              <w:rPr>
                <w:rFonts w:ascii="Consolas" w:cs="Consolas" w:eastAsia="Consolas" w:hAnsi="Consolas"/>
                <w:color w:val="E5E7EB"/>
                <w:sz w:val="19"/>
                <w:szCs w:val="19"/>
              </w:rPr>
              <w:t xml:space="preserve">  return belowTwoPercent || aboveTwoPercentButBelowMinimum;</w:t>
            </w:r>
          </w:p>
          <w:p>
            <w:pPr>
              <w:spacing w:after="40"/>
            </w:pPr>
            <w:r>
              <w:rPr>
                <w:rFonts w:ascii="Consolas" w:cs="Consolas" w:eastAsia="Consolas" w:hAnsi="Consolas"/>
                <w:color w:val="E5E7EB"/>
                <w:sz w:val="19"/>
                <w:szCs w:val="19"/>
              </w:rPr>
              <w:t xml:space="preserve">}</w:t>
            </w:r>
          </w:p>
          <w:p>
            <w:pPr>
              <w:spacing w:after="40"/>
            </w:pPr>
            <w:r>
              <w:rPr>
                <w:rFonts w:ascii="Consolas" w:cs="Consolas" w:eastAsia="Consolas" w:hAnsi="Consolas"/>
                <w:color w:val="E5E7EB"/>
                <w:sz w:val="19"/>
                <w:szCs w:val="19"/>
              </w:rPr>
              <w:t xml:space="preserve"/>
            </w:r>
          </w:p>
          <w:p>
            <w:pPr>
              <w:spacing w:after="40"/>
            </w:pPr>
            <w:r>
              <w:rPr>
                <w:rFonts w:ascii="Consolas" w:cs="Consolas" w:eastAsia="Consolas" w:hAnsi="Consolas"/>
                <w:color w:val="E5E7EB"/>
                <w:sz w:val="19"/>
                <w:szCs w:val="19"/>
              </w:rPr>
              <w:t xml:space="preserve">export interface FrsCapitalAsset { description: string; inclVatPence: Pence; vatRatePct: number }</w:t>
            </w:r>
          </w:p>
          <w:p>
            <w:pPr>
              <w:spacing w:after="40"/>
            </w:pPr>
            <w:r>
              <w:rPr>
                <w:rFonts w:ascii="Consolas" w:cs="Consolas" w:eastAsia="Consolas" w:hAnsi="Consolas"/>
                <w:color w:val="E5E7EB"/>
                <w:sz w:val="19"/>
                <w:szCs w:val="19"/>
              </w:rPr>
              <w:t xml:space="preserve">export interface FrsInput {</w:t>
            </w:r>
          </w:p>
          <w:p>
            <w:pPr>
              <w:spacing w:after="40"/>
            </w:pPr>
            <w:r>
              <w:rPr>
                <w:rFonts w:ascii="Consolas" w:cs="Consolas" w:eastAsia="Consolas" w:hAnsi="Consolas"/>
                <w:color w:val="E5E7EB"/>
                <w:sz w:val="19"/>
                <w:szCs w:val="19"/>
              </w:rPr>
              <w:t xml:space="preserve">  flatRateTurnoverInclVatPence: Pence;</w:t>
            </w:r>
          </w:p>
          <w:p>
            <w:pPr>
              <w:spacing w:after="40"/>
            </w:pPr>
            <w:r>
              <w:rPr>
                <w:rFonts w:ascii="Consolas" w:cs="Consolas" w:eastAsia="Consolas" w:hAnsi="Consolas"/>
                <w:color w:val="E5E7EB"/>
                <w:sz w:val="19"/>
                <w:szCs w:val="19"/>
              </w:rPr>
              <w:t xml:space="preserve">  relevantGoodsSpendInclVatPence: Pence;</w:t>
            </w:r>
          </w:p>
          <w:p>
            <w:pPr>
              <w:spacing w:after="40"/>
            </w:pPr>
            <w:r>
              <w:rPr>
                <w:rFonts w:ascii="Consolas" w:cs="Consolas" w:eastAsia="Consolas" w:hAnsi="Consolas"/>
                <w:color w:val="E5E7EB"/>
                <w:sz w:val="19"/>
                <w:szCs w:val="19"/>
              </w:rPr>
              <w:t xml:space="preserve">  periodIsQuarterly: boolean;</w:t>
            </w:r>
          </w:p>
          <w:p>
            <w:pPr>
              <w:spacing w:after="40"/>
            </w:pPr>
            <w:r>
              <w:rPr>
                <w:rFonts w:ascii="Consolas" w:cs="Consolas" w:eastAsia="Consolas" w:hAnsi="Consolas"/>
                <w:color w:val="E5E7EB"/>
                <w:sz w:val="19"/>
                <w:szCs w:val="19"/>
              </w:rPr>
              <w:t xml:space="preserve">  sectorRatePct: number; // from FRS_SECTOR_RATES</w:t>
            </w:r>
          </w:p>
          <w:p>
            <w:pPr>
              <w:spacing w:after="40"/>
            </w:pPr>
            <w:r>
              <w:rPr>
                <w:rFonts w:ascii="Consolas" w:cs="Consolas" w:eastAsia="Consolas" w:hAnsi="Consolas"/>
                <w:color w:val="E5E7EB"/>
                <w:sz w:val="19"/>
                <w:szCs w:val="19"/>
              </w:rPr>
              <w:t xml:space="preserve">  capitalAssets: FrsCapitalAsset[]; // each tested independently against the threshold, s15.3</w:t>
            </w:r>
          </w:p>
          <w:p>
            <w:pPr>
              <w:spacing w:after="40"/>
            </w:pPr>
            <w:r>
              <w:rPr>
                <w:rFonts w:ascii="Consolas" w:cs="Consolas" w:eastAsia="Consolas" w:hAnsi="Consolas"/>
                <w:color w:val="E5E7EB"/>
                <w:sz w:val="19"/>
                <w:szCs w:val="19"/>
              </w:rPr>
              <w:t xml:space="preserve">}</w:t>
            </w:r>
          </w:p>
          <w:p>
            <w:pPr>
              <w:spacing w:after="40"/>
            </w:pPr>
            <w:r>
              <w:rPr>
                <w:rFonts w:ascii="Consolas" w:cs="Consolas" w:eastAsia="Consolas" w:hAnsi="Consolas"/>
                <w:color w:val="E5E7EB"/>
                <w:sz w:val="19"/>
                <w:szCs w:val="19"/>
              </w:rPr>
              <w:t xml:space="preserve">export interface FrsResult {</w:t>
            </w:r>
          </w:p>
          <w:p>
            <w:pPr>
              <w:spacing w:after="40"/>
            </w:pPr>
            <w:r>
              <w:rPr>
                <w:rFonts w:ascii="Consolas" w:cs="Consolas" w:eastAsia="Consolas" w:hAnsi="Consolas"/>
                <w:color w:val="E5E7EB"/>
                <w:sz w:val="19"/>
                <w:szCs w:val="19"/>
              </w:rPr>
              <w:t xml:space="preserve">  ratePctUsed: number; limitedCostBusinessApplied: boolean;</w:t>
            </w:r>
          </w:p>
          <w:p>
            <w:pPr>
              <w:spacing w:after="40"/>
            </w:pPr>
            <w:r>
              <w:rPr>
                <w:rFonts w:ascii="Consolas" w:cs="Consolas" w:eastAsia="Consolas" w:hAnsi="Consolas"/>
                <w:color w:val="E5E7EB"/>
                <w:sz w:val="19"/>
                <w:szCs w:val="19"/>
              </w:rPr>
              <w:t xml:space="preserve">  vatDuePence: Pence; reclaimableCapitalVatPence: Pence; warnings: string[];</w:t>
            </w:r>
          </w:p>
          <w:p>
            <w:pPr>
              <w:spacing w:after="40"/>
            </w:pPr>
            <w:r>
              <w:rPr>
                <w:rFonts w:ascii="Consolas" w:cs="Consolas" w:eastAsia="Consolas" w:hAnsi="Consolas"/>
                <w:color w:val="E5E7EB"/>
                <w:sz w:val="19"/>
                <w:szCs w:val="19"/>
              </w:rPr>
              <w:t xml:space="preserve">}</w:t>
            </w:r>
          </w:p>
          <w:p>
            <w:pPr>
              <w:spacing w:after="40"/>
            </w:pPr>
            <w:r>
              <w:rPr>
                <w:rFonts w:ascii="Consolas" w:cs="Consolas" w:eastAsia="Consolas" w:hAnsi="Consolas"/>
                <w:color w:val="E5E7EB"/>
                <w:sz w:val="19"/>
                <w:szCs w:val="19"/>
              </w:rPr>
              <w:t xml:space="preserve"/>
            </w:r>
          </w:p>
          <w:p>
            <w:pPr>
              <w:spacing w:after="40"/>
            </w:pPr>
            <w:r>
              <w:rPr>
                <w:rFonts w:ascii="Consolas" w:cs="Consolas" w:eastAsia="Consolas" w:hAnsi="Consolas"/>
                <w:color w:val="E5E7EB"/>
                <w:sz w:val="19"/>
                <w:szCs w:val="19"/>
              </w:rPr>
              <w:t xml:space="preserve">export function computeFlatRateScheme(i: FrsInput): FrsResult {</w:t>
            </w:r>
          </w:p>
          <w:p>
            <w:pPr>
              <w:spacing w:after="40"/>
            </w:pPr>
            <w:r>
              <w:rPr>
                <w:rFonts w:ascii="Consolas" w:cs="Consolas" w:eastAsia="Consolas" w:hAnsi="Consolas"/>
                <w:color w:val="E5E7EB"/>
                <w:sz w:val="19"/>
                <w:szCs w:val="19"/>
              </w:rPr>
              <w:t xml:space="preserve">  const warnings: string[] = [];</w:t>
            </w:r>
          </w:p>
          <w:p>
            <w:pPr>
              <w:spacing w:after="40"/>
            </w:pPr>
            <w:r>
              <w:rPr>
                <w:rFonts w:ascii="Consolas" w:cs="Consolas" w:eastAsia="Consolas" w:hAnsi="Consolas"/>
                <w:color w:val="E5E7EB"/>
                <w:sz w:val="19"/>
                <w:szCs w:val="19"/>
              </w:rPr>
              <w:t xml:space="preserve">  const limitedCost = isLimitedCostBusiness(</w:t>
            </w:r>
          </w:p>
          <w:p>
            <w:pPr>
              <w:spacing w:after="40"/>
            </w:pPr>
            <w:r>
              <w:rPr>
                <w:rFonts w:ascii="Consolas" w:cs="Consolas" w:eastAsia="Consolas" w:hAnsi="Consolas"/>
                <w:color w:val="E5E7EB"/>
                <w:sz w:val="19"/>
                <w:szCs w:val="19"/>
              </w:rPr>
              <w:t xml:space="preserve">    i.flatRateTurnoverInclVatPence, i.relevantGoodsSpendInclVatPence, i.periodIsQuarterly);</w:t>
            </w:r>
          </w:p>
          <w:p>
            <w:pPr>
              <w:spacing w:after="40"/>
            </w:pPr>
            <w:r>
              <w:rPr>
                <w:rFonts w:ascii="Consolas" w:cs="Consolas" w:eastAsia="Consolas" w:hAnsi="Consolas"/>
                <w:color w:val="E5E7EB"/>
                <w:sz w:val="19"/>
                <w:szCs w:val="19"/>
              </w:rPr>
              <w:t xml:space="preserve">  const ratePctUsed = limitedCost ? FRS_LIMITED_COST_RATE_PCT : i.sectorRatePct;</w:t>
            </w:r>
          </w:p>
          <w:p>
            <w:pPr>
              <w:spacing w:after="40"/>
            </w:pPr>
            <w:r>
              <w:rPr>
                <w:rFonts w:ascii="Consolas" w:cs="Consolas" w:eastAsia="Consolas" w:hAnsi="Consolas"/>
                <w:color w:val="E5E7EB"/>
                <w:sz w:val="19"/>
                <w:szCs w:val="19"/>
              </w:rPr>
              <w:t xml:space="preserve">  const vatDue = roundP((i.flatRateTurnoverInclVatPence * ratePctUsed) / 100);</w:t>
            </w:r>
          </w:p>
          <w:p>
            <w:pPr>
              <w:spacing w:after="40"/>
            </w:pPr>
            <w:r>
              <w:rPr>
                <w:rFonts w:ascii="Consolas" w:cs="Consolas" w:eastAsia="Consolas" w:hAnsi="Consolas"/>
                <w:color w:val="E5E7EB"/>
                <w:sz w:val="19"/>
                <w:szCs w:val="19"/>
              </w:rPr>
              <w:t xml:space="preserve"/>
            </w:r>
          </w:p>
          <w:p>
            <w:pPr>
              <w:spacing w:after="40"/>
            </w:pPr>
            <w:r>
              <w:rPr>
                <w:rFonts w:ascii="Consolas" w:cs="Consolas" w:eastAsia="Consolas" w:hAnsi="Consolas"/>
                <w:color w:val="E5E7EB"/>
                <w:sz w:val="19"/>
                <w:szCs w:val="19"/>
              </w:rPr>
              <w:t xml:space="preserve">  let reclaimableCapitalVat = 0;</w:t>
            </w:r>
          </w:p>
          <w:p>
            <w:pPr>
              <w:spacing w:after="40"/>
            </w:pPr>
            <w:r>
              <w:rPr>
                <w:rFonts w:ascii="Consolas" w:cs="Consolas" w:eastAsia="Consolas" w:hAnsi="Consolas"/>
                <w:color w:val="E5E7EB"/>
                <w:sz w:val="19"/>
                <w:szCs w:val="19"/>
              </w:rPr>
              <w:t xml:space="preserve">  for (const asset of i.capitalAssets) {</w:t>
            </w:r>
          </w:p>
          <w:p>
            <w:pPr>
              <w:spacing w:after="40"/>
            </w:pPr>
            <w:r>
              <w:rPr>
                <w:rFonts w:ascii="Consolas" w:cs="Consolas" w:eastAsia="Consolas" w:hAnsi="Consolas"/>
                <w:color w:val="E5E7EB"/>
                <w:sz w:val="19"/>
                <w:szCs w:val="19"/>
              </w:rPr>
              <w:t xml:space="preserve">    if (asset.inclVatPence &gt;= FRS_CAPITAL_ASSET_THRESHOLD_INCL_VAT_PENCE) {</w:t>
            </w:r>
          </w:p>
          <w:p>
            <w:pPr>
              <w:spacing w:after="40"/>
            </w:pPr>
            <w:r>
              <w:rPr>
                <w:rFonts w:ascii="Consolas" w:cs="Consolas" w:eastAsia="Consolas" w:hAnsi="Consolas"/>
                <w:color w:val="E5E7EB"/>
                <w:sz w:val="19"/>
                <w:szCs w:val="19"/>
              </w:rPr>
              <w:t xml:space="preserve">      const vatElement = roundP(asset.inclVatPence - asset.inclVatPence / (1 + asset.vatRatePct / 100));</w:t>
            </w:r>
          </w:p>
          <w:p>
            <w:pPr>
              <w:spacing w:after="40"/>
            </w:pPr>
            <w:r>
              <w:rPr>
                <w:rFonts w:ascii="Consolas" w:cs="Consolas" w:eastAsia="Consolas" w:hAnsi="Consolas"/>
                <w:color w:val="E5E7EB"/>
                <w:sz w:val="19"/>
                <w:szCs w:val="19"/>
              </w:rPr>
              <w:t xml:space="preserve">      reclaimableCapitalVat += vatElement;</w:t>
            </w:r>
          </w:p>
          <w:p>
            <w:pPr>
              <w:spacing w:after="40"/>
            </w:pPr>
            <w:r>
              <w:rPr>
                <w:rFonts w:ascii="Consolas" w:cs="Consolas" w:eastAsia="Consolas" w:hAnsi="Consolas"/>
                <w:color w:val="E5E7EB"/>
                <w:sz w:val="19"/>
                <w:szCs w:val="19"/>
              </w:rPr>
              <w:t xml:space="preserve">    } else {</w:t>
            </w:r>
          </w:p>
          <w:p>
            <w:pPr>
              <w:spacing w:after="40"/>
            </w:pPr>
            <w:r>
              <w:rPr>
                <w:rFonts w:ascii="Consolas" w:cs="Consolas" w:eastAsia="Consolas" w:hAnsi="Consolas"/>
                <w:color w:val="E5E7EB"/>
                <w:sz w:val="19"/>
                <w:szCs w:val="19"/>
              </w:rPr>
              <w:t xml:space="preserve">      warnings.push(`Capital asset "${asset.description}" below the £2,000 FRS threshold: not separately reclaimable`);</w:t>
            </w:r>
          </w:p>
          <w:p>
            <w:pPr>
              <w:spacing w:after="40"/>
            </w:pPr>
            <w:r>
              <w:rPr>
                <w:rFonts w:ascii="Consolas" w:cs="Consolas" w:eastAsia="Consolas" w:hAnsi="Consolas"/>
                <w:color w:val="E5E7EB"/>
                <w:sz w:val="19"/>
                <w:szCs w:val="19"/>
              </w:rPr>
              <w:t xml:space="preserve">    }</w:t>
            </w:r>
          </w:p>
          <w:p>
            <w:pPr>
              <w:spacing w:after="40"/>
            </w:pPr>
            <w:r>
              <w:rPr>
                <w:rFonts w:ascii="Consolas" w:cs="Consolas" w:eastAsia="Consolas" w:hAnsi="Consolas"/>
                <w:color w:val="E5E7EB"/>
                <w:sz w:val="19"/>
                <w:szCs w:val="19"/>
              </w:rPr>
              <w:t xml:space="preserve">  }</w:t>
            </w:r>
          </w:p>
          <w:p>
            <w:pPr>
              <w:spacing w:after="40"/>
            </w:pPr>
            <w:r>
              <w:rPr>
                <w:rFonts w:ascii="Consolas" w:cs="Consolas" w:eastAsia="Consolas" w:hAnsi="Consolas"/>
                <w:color w:val="E5E7EB"/>
                <w:sz w:val="19"/>
                <w:szCs w:val="19"/>
              </w:rPr>
              <w:t xml:space="preserve">  if (limitedCost &amp;&amp; ratePctUsed !== i.sectorRatePct) {</w:t>
            </w:r>
          </w:p>
          <w:p>
            <w:pPr>
              <w:spacing w:after="40"/>
            </w:pPr>
            <w:r>
              <w:rPr>
                <w:rFonts w:ascii="Consolas" w:cs="Consolas" w:eastAsia="Consolas" w:hAnsi="Consolas"/>
                <w:color w:val="E5E7EB"/>
                <w:sz w:val="19"/>
                <w:szCs w:val="19"/>
              </w:rPr>
              <w:t xml:space="preserve">    warnings.push(`Limited-cost-business test applied: 16.5% used instead of the ${i.sectorRatePct}% sector rate`);</w:t>
            </w:r>
          </w:p>
          <w:p>
            <w:pPr>
              <w:spacing w:after="40"/>
            </w:pPr>
            <w:r>
              <w:rPr>
                <w:rFonts w:ascii="Consolas" w:cs="Consolas" w:eastAsia="Consolas" w:hAnsi="Consolas"/>
                <w:color w:val="E5E7EB"/>
                <w:sz w:val="19"/>
                <w:szCs w:val="19"/>
              </w:rPr>
              <w:t xml:space="preserve">  }</w:t>
            </w:r>
          </w:p>
          <w:p>
            <w:pPr>
              <w:spacing w:after="40"/>
            </w:pPr>
            <w:r>
              <w:rPr>
                <w:rFonts w:ascii="Consolas" w:cs="Consolas" w:eastAsia="Consolas" w:hAnsi="Consolas"/>
                <w:color w:val="E5E7EB"/>
                <w:sz w:val="19"/>
                <w:szCs w:val="19"/>
              </w:rPr>
              <w:t xml:space="preserve">  return { ratePctUsed, limitedCostBusinessApplied: limitedCost, vatDuePence: vatDue,</w:t>
            </w:r>
          </w:p>
          <w:p>
            <w:pPr>
              <w:spacing w:after="40"/>
            </w:pPr>
            <w:r>
              <w:rPr>
                <w:rFonts w:ascii="Consolas" w:cs="Consolas" w:eastAsia="Consolas" w:hAnsi="Consolas"/>
                <w:color w:val="E5E7EB"/>
                <w:sz w:val="19"/>
                <w:szCs w:val="19"/>
              </w:rPr>
              <w:t xml:space="preserve">    reclaimableCapitalVatPence: reclaimableCapitalVat, warnings };</w:t>
            </w:r>
          </w:p>
          <w:p>
            <w:pPr>
              <w:spacing w:after="40"/>
            </w:pPr>
            <w:r>
              <w:rPr>
                <w:rFonts w:ascii="Consolas" w:cs="Consolas" w:eastAsia="Consolas" w:hAnsi="Consolas"/>
                <w:color w:val="E5E7EB"/>
                <w:sz w:val="19"/>
                <w:szCs w:val="19"/>
              </w:rPr>
              <w:t xml:space="preserve">}</w:t>
            </w:r>
          </w:p>
        </w:tc>
      </w:tr>
    </w:tbl>
    <w:p>
      <w:pPr>
        <w:spacing w:after="150" w:line="300"/>
      </w:pPr>
      <w:r>
        <w:rPr>
          <w:color w:val="202020"/>
          <w:sz w:val="21"/>
          <w:szCs w:val="21"/>
        </w:rPr>
        <w:t xml:space="preserve">The 14 tests below are the permanent regression suite for this engine.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shd w:fill="1F2937" w:color="auto" w:val="clear"/>
            <w:tcMar>
              <w:top w:type="dxa" w:w="160"/>
              <w:left w:type="dxa" w:w="200"/>
              <w:bottom w:type="dxa" w:w="160"/>
              <w:right w:type="dxa" w:w="200"/>
            </w:tcMar>
          </w:tcPr>
          <w:p>
            <w:pPr>
              <w:spacing w:after="40"/>
            </w:pPr>
            <w:r>
              <w:rPr>
                <w:rFonts w:ascii="Consolas" w:cs="Consolas" w:eastAsia="Consolas" w:hAnsi="Consolas"/>
                <w:color w:val="E5E7EB"/>
                <w:sz w:val="19"/>
                <w:szCs w:val="19"/>
              </w:rPr>
              <w:t xml:space="preserve">ok  standard method 9-box return matches the worked example in Rule 3.3.6 exactly</w:t>
            </w:r>
          </w:p>
          <w:p>
            <w:pPr>
              <w:spacing w:after="40"/>
            </w:pPr>
            <w:r>
              <w:rPr>
                <w:rFonts w:ascii="Consolas" w:cs="Consolas" w:eastAsia="Consolas" w:hAnsi="Consolas"/>
                <w:color w:val="E5E7EB"/>
                <w:sz w:val="19"/>
                <w:szCs w:val="19"/>
              </w:rPr>
              <w:t xml:space="preserve">ok  box 5 (net VAT due) is always shown unsigned, whichever direction it nets</w:t>
            </w:r>
          </w:p>
          <w:p>
            <w:pPr>
              <w:spacing w:after="40"/>
            </w:pPr>
            <w:r>
              <w:rPr>
                <w:rFonts w:ascii="Consolas" w:cs="Consolas" w:eastAsia="Consolas" w:hAnsi="Consolas"/>
                <w:color w:val="E5E7EB"/>
                <w:sz w:val="19"/>
                <w:szCs w:val="19"/>
              </w:rPr>
              <w:t xml:space="preserve">ok  box 6-9 round-half-up: 1,234.50 -&gt; 1,235</w:t>
            </w:r>
          </w:p>
          <w:p>
            <w:pPr>
              <w:spacing w:after="40"/>
            </w:pPr>
            <w:r>
              <w:rPr>
                <w:rFonts w:ascii="Consolas" w:cs="Consolas" w:eastAsia="Consolas" w:hAnsi="Consolas"/>
                <w:color w:val="E5E7EB"/>
                <w:sz w:val="19"/>
                <w:szCs w:val="19"/>
              </w:rPr>
              <w:t xml:space="preserve">ok  box 6-9 round-half-up: 1,234.49 -&gt; 1,234</w:t>
            </w:r>
          </w:p>
          <w:p>
            <w:pPr>
              <w:spacing w:after="40"/>
            </w:pPr>
            <w:r>
              <w:rPr>
                <w:rFonts w:ascii="Consolas" w:cs="Consolas" w:eastAsia="Consolas" w:hAnsi="Consolas"/>
                <w:color w:val="E5E7EB"/>
                <w:sz w:val="19"/>
                <w:szCs w:val="19"/>
              </w:rPr>
              <w:t xml:space="preserve">ok  box 8 exceeding box 6 raises a subset-check warning</w:t>
            </w:r>
          </w:p>
          <w:p>
            <w:pPr>
              <w:spacing w:after="40"/>
            </w:pPr>
            <w:r>
              <w:rPr>
                <w:rFonts w:ascii="Consolas" w:cs="Consolas" w:eastAsia="Consolas" w:hAnsi="Consolas"/>
                <w:color w:val="E5E7EB"/>
                <w:sz w:val="19"/>
                <w:szCs w:val="19"/>
              </w:rPr>
              <w:t xml:space="preserve">ok  box 9 exceeding box 7 raises a subset-check warning</w:t>
            </w:r>
          </w:p>
          <w:p>
            <w:pPr>
              <w:spacing w:after="40"/>
            </w:pPr>
            <w:r>
              <w:rPr>
                <w:rFonts w:ascii="Consolas" w:cs="Consolas" w:eastAsia="Consolas" w:hAnsi="Consolas"/>
                <w:color w:val="E5E7EB"/>
                <w:sz w:val="19"/>
                <w:szCs w:val="19"/>
              </w:rPr>
              <w:t xml:space="preserve">ok  registration: below both the rolling 12-month and 30-day tests, no registration required</w:t>
            </w:r>
          </w:p>
          <w:p>
            <w:pPr>
              <w:spacing w:after="40"/>
            </w:pPr>
            <w:r>
              <w:rPr>
                <w:rFonts w:ascii="Consolas" w:cs="Consolas" w:eastAsia="Consolas" w:hAnsi="Consolas"/>
                <w:color w:val="E5E7EB"/>
                <w:sz w:val="19"/>
                <w:szCs w:val="19"/>
              </w:rPr>
              <w:t xml:space="preserve">ok  registration: rolling 12-month turnover alone exceeds £90,000, registration required</w:t>
            </w:r>
          </w:p>
          <w:p>
            <w:pPr>
              <w:spacing w:after="40"/>
            </w:pPr>
            <w:r>
              <w:rPr>
                <w:rFonts w:ascii="Consolas" w:cs="Consolas" w:eastAsia="Consolas" w:hAnsi="Consolas"/>
                <w:color w:val="E5E7EB"/>
                <w:sz w:val="19"/>
                <w:szCs w:val="19"/>
              </w:rPr>
              <w:t xml:space="preserve">ok  registration: 30-day forecast alone exceeds £90,000, registration required</w:t>
            </w:r>
          </w:p>
          <w:p>
            <w:pPr>
              <w:spacing w:after="40"/>
            </w:pPr>
            <w:r>
              <w:rPr>
                <w:rFonts w:ascii="Consolas" w:cs="Consolas" w:eastAsia="Consolas" w:hAnsi="Consolas"/>
                <w:color w:val="E5E7EB"/>
                <w:sz w:val="19"/>
                <w:szCs w:val="19"/>
              </w:rPr>
              <w:t xml:space="preserve">ok  registration: exactly at £90,000 does not trigger, the test is strictly greater than</w:t>
            </w:r>
          </w:p>
          <w:p>
            <w:pPr>
              <w:spacing w:after="40"/>
            </w:pPr>
            <w:r>
              <w:rPr>
                <w:rFonts w:ascii="Consolas" w:cs="Consolas" w:eastAsia="Consolas" w:hAnsi="Consolas"/>
                <w:color w:val="E5E7EB"/>
                <w:sz w:val="19"/>
                <w:szCs w:val="19"/>
              </w:rPr>
              <w:t xml:space="preserve">ok  FRS standard sector rate: accountancy at 14.5%, goods spend above both FRS tests</w:t>
            </w:r>
          </w:p>
          <w:p>
            <w:pPr>
              <w:spacing w:after="40"/>
            </w:pPr>
            <w:r>
              <w:rPr>
                <w:rFonts w:ascii="Consolas" w:cs="Consolas" w:eastAsia="Consolas" w:hAnsi="Consolas"/>
                <w:color w:val="E5E7EB"/>
                <w:sz w:val="19"/>
                <w:szCs w:val="19"/>
              </w:rPr>
              <w:t xml:space="preserve">ok  FRS limited-cost-business override: same sector, spend below the tests, 16.5% used instead</w:t>
            </w:r>
          </w:p>
          <w:p>
            <w:pPr>
              <w:spacing w:after="40"/>
            </w:pPr>
            <w:r>
              <w:rPr>
                <w:rFonts w:ascii="Consolas" w:cs="Consolas" w:eastAsia="Consolas" w:hAnsi="Consolas"/>
                <w:color w:val="E5E7EB"/>
                <w:sz w:val="19"/>
                <w:szCs w:val="19"/>
              </w:rPr>
              <w:t xml:space="preserve">ok  FRS capital asset reclaim: £2,500 incl VAT at 20% reclaims £416.67</w:t>
            </w:r>
          </w:p>
          <w:p>
            <w:pPr>
              <w:spacing w:after="40"/>
            </w:pPr>
            <w:r>
              <w:rPr>
                <w:rFonts w:ascii="Consolas" w:cs="Consolas" w:eastAsia="Consolas" w:hAnsi="Consolas"/>
                <w:color w:val="E5E7EB"/>
                <w:sz w:val="19"/>
                <w:szCs w:val="19"/>
              </w:rPr>
              <w:t xml:space="preserve">ok  FRS capital asset below £2,000: not reclaimable, warning issued, no silent drop</w:t>
            </w:r>
          </w:p>
          <w:p>
            <w:pPr>
              <w:spacing w:after="40"/>
            </w:pPr>
            <w:r>
              <w:rPr>
                <w:rFonts w:ascii="Consolas" w:cs="Consolas" w:eastAsia="Consolas" w:hAnsi="Consolas"/>
                <w:color w:val="E5E7EB"/>
                <w:sz w:val="19"/>
                <w:szCs w:val="19"/>
              </w:rPr>
              <w:t xml:space="preserve"/>
            </w:r>
          </w:p>
          <w:p>
            <w:pPr>
              <w:spacing w:after="40"/>
            </w:pPr>
            <w:r>
              <w:rPr>
                <w:rFonts w:ascii="Consolas" w:cs="Consolas" w:eastAsia="Consolas" w:hAnsi="Consolas"/>
                <w:color w:val="E5E7EB"/>
                <w:sz w:val="19"/>
                <w:szCs w:val="19"/>
              </w:rPr>
              <w:t xml:space="preserve">14 tests passed</w:t>
            </w:r>
          </w:p>
        </w:tc>
      </w:tr>
    </w:tbl>
    <w:p>
      <w:pPr>
        <w:spacing w:after="220" w:before="60"/>
      </w:pPr>
      <w:r>
        <w:rPr>
          <w:i/>
          <w:iCs/>
          <w:color w:val="595959"/>
          <w:sz w:val="17"/>
          <w:szCs w:val="17"/>
        </w:rPr>
        <w:t xml:space="preserve">The rounding-direction tests use round-half-up as the documented engine default, not a confirmed HMRC rule, see Rule 3.3.6a and VR-27.</w:t>
      </w:r>
    </w:p>
    <w:p>
      <w:pPr>
        <w:spacing w:after="150" w:line="300"/>
      </w:pPr>
      <w:r>
        <w:rPr>
          <w:color w:val="202020"/>
          <w:sz w:val="21"/>
          <w:szCs w:val="21"/>
        </w:rPr>
        <w:t xml:space="preserve">Key worked cases, for human review:</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2800"/>
        <w:gridCol w:w="2446"/>
        <w:gridCol w:w="2400"/>
      </w:tblGrid>
      <w:tr>
        <w:trPr>
          <w:tblHeader/>
        </w:trPr>
        <w:tc>
          <w:tcPr>
            <w:tcW w:type="dxa" w:w="2100"/>
            <w:shd w:fill="1F3A5F" w:color="auto" w:val="clear"/>
            <w:tcMar>
              <w:top w:type="dxa" w:w="80"/>
              <w:left w:type="dxa" w:w="100"/>
              <w:bottom w:type="dxa" w:w="80"/>
              <w:right w:type="dxa" w:w="100"/>
            </w:tcMar>
          </w:tcPr>
          <w:p>
            <w:pPr>
              <w:jc w:val="left"/>
            </w:pPr>
            <w:r>
              <w:rPr>
                <w:b/>
                <w:bCs/>
                <w:color w:val="FFFFFF"/>
                <w:sz w:val="18"/>
                <w:szCs w:val="18"/>
              </w:rPr>
              <w:t xml:space="preserve">Case</w:t>
            </w:r>
          </w:p>
        </w:tc>
        <w:tc>
          <w:tcPr>
            <w:tcW w:type="dxa" w:w="2800"/>
            <w:shd w:fill="1F3A5F" w:color="auto" w:val="clear"/>
            <w:tcMar>
              <w:top w:type="dxa" w:w="80"/>
              <w:left w:type="dxa" w:w="100"/>
              <w:bottom w:type="dxa" w:w="80"/>
              <w:right w:type="dxa" w:w="100"/>
            </w:tcMar>
          </w:tcPr>
          <w:p>
            <w:pPr>
              <w:jc w:val="left"/>
            </w:pPr>
            <w:r>
              <w:rPr>
                <w:b/>
                <w:bCs/>
                <w:color w:val="FFFFFF"/>
                <w:sz w:val="18"/>
                <w:szCs w:val="18"/>
              </w:rPr>
              <w:t xml:space="preserve">Inputs</w:t>
            </w:r>
          </w:p>
        </w:tc>
        <w:tc>
          <w:tcPr>
            <w:tcW w:type="dxa" w:w="2446"/>
            <w:shd w:fill="1F3A5F" w:color="auto" w:val="clear"/>
            <w:tcMar>
              <w:top w:type="dxa" w:w="80"/>
              <w:left w:type="dxa" w:w="100"/>
              <w:bottom w:type="dxa" w:w="80"/>
              <w:right w:type="dxa" w:w="100"/>
            </w:tcMar>
          </w:tcPr>
          <w:p>
            <w:pPr>
              <w:jc w:val="left"/>
            </w:pPr>
            <w:r>
              <w:rPr>
                <w:b/>
                <w:bCs/>
                <w:color w:val="FFFFFF"/>
                <w:sz w:val="18"/>
                <w:szCs w:val="18"/>
              </w:rPr>
              <w:t xml:space="preserve">Expected</w:t>
            </w:r>
          </w:p>
        </w:tc>
        <w:tc>
          <w:tcPr>
            <w:tcW w:type="dxa" w:w="2400"/>
            <w:shd w:fill="1F3A5F" w:color="auto" w:val="clear"/>
            <w:tcMar>
              <w:top w:type="dxa" w:w="80"/>
              <w:left w:type="dxa" w:w="100"/>
              <w:bottom w:type="dxa" w:w="80"/>
              <w:right w:type="dxa" w:w="100"/>
            </w:tcMar>
          </w:tcPr>
          <w:p>
            <w:pPr>
              <w:jc w:val="left"/>
            </w:pPr>
            <w:r>
              <w:rPr>
                <w:b/>
                <w:bCs/>
                <w:color w:val="FFFFFF"/>
                <w:sz w:val="18"/>
                <w:szCs w:val="18"/>
              </w:rPr>
              <w:t xml:space="preserve">Result</w:t>
            </w:r>
          </w:p>
        </w:tc>
      </w:tr>
      <w:tr>
        <w:tc>
          <w:tcPr>
            <w:tcW w:type="dxa" w:w="2100"/>
            <w:tcMar>
              <w:top w:type="dxa" w:w="80"/>
              <w:left w:type="dxa" w:w="100"/>
              <w:bottom w:type="dxa" w:w="80"/>
              <w:right w:type="dxa" w:w="100"/>
            </w:tcMar>
          </w:tcPr>
          <w:p>
            <w:pPr>
              <w:jc w:val="left"/>
            </w:pPr>
            <w:r>
              <w:rPr>
                <w:b w:val="false"/>
                <w:bCs w:val="false"/>
                <w:color w:val="202020"/>
                <w:sz w:val="18"/>
                <w:szCs w:val="18"/>
              </w:rPr>
              <w:t xml:space="preserve">Standard method (Rule 3.3.6)</w:t>
            </w:r>
          </w:p>
        </w:tc>
        <w:tc>
          <w:tcPr>
            <w:tcW w:type="dxa" w:w="2800"/>
            <w:tcMar>
              <w:top w:type="dxa" w:w="80"/>
              <w:left w:type="dxa" w:w="100"/>
              <w:bottom w:type="dxa" w:w="80"/>
              <w:right w:type="dxa" w:w="100"/>
            </w:tcMar>
          </w:tcPr>
          <w:p>
            <w:pPr>
              <w:jc w:val="left"/>
            </w:pPr>
            <w:r>
              <w:rPr>
                <w:b w:val="false"/>
                <w:bCs w:val="false"/>
                <w:color w:val="202020"/>
                <w:sz w:val="18"/>
                <w:szCs w:val="18"/>
              </w:rPr>
              <w:t xml:space="preserve">£50,000 net std + £5,000 net zero-rated outputs, £20,000 net std inputs</w:t>
            </w:r>
          </w:p>
        </w:tc>
        <w:tc>
          <w:tcPr>
            <w:tcW w:type="dxa" w:w="2446"/>
            <w:tcMar>
              <w:top w:type="dxa" w:w="80"/>
              <w:left w:type="dxa" w:w="100"/>
              <w:bottom w:type="dxa" w:w="80"/>
              <w:right w:type="dxa" w:w="100"/>
            </w:tcMar>
          </w:tcPr>
          <w:p>
            <w:pPr>
              <w:jc w:val="left"/>
            </w:pPr>
            <w:r>
              <w:rPr>
                <w:b w:val="false"/>
                <w:bCs w:val="false"/>
                <w:color w:val="202020"/>
                <w:sz w:val="18"/>
                <w:szCs w:val="18"/>
              </w:rPr>
              <w:t xml:space="preserve">Box1 £10,000, Box3 £10,000, Box4 £4,000, Box5 £6,000, Box6 £55,000, Box7 £20,000</w:t>
            </w:r>
          </w:p>
        </w:tc>
        <w:tc>
          <w:tcPr>
            <w:tcW w:type="dxa" w:w="2400"/>
            <w:tcMar>
              <w:top w:type="dxa" w:w="80"/>
              <w:left w:type="dxa" w:w="100"/>
              <w:bottom w:type="dxa" w:w="80"/>
              <w:right w:type="dxa" w:w="100"/>
            </w:tcMar>
          </w:tcPr>
          <w:p>
            <w:pPr>
              <w:jc w:val="left"/>
            </w:pPr>
            <w:r>
              <w:rPr>
                <w:b w:val="false"/>
                <w:bCs w:val="false"/>
                <w:color w:val="202020"/>
                <w:sz w:val="18"/>
                <w:szCs w:val="18"/>
              </w:rPr>
              <w:t xml:space="preserve">pass</w:t>
            </w:r>
          </w:p>
        </w:tc>
      </w:tr>
      <w:tr>
        <w:tc>
          <w:tcPr>
            <w:tcW w:type="dxa" w:w="2100"/>
            <w:shd w:fill="F2F2F2" w:color="auto" w:val="clear"/>
            <w:tcMar>
              <w:top w:type="dxa" w:w="80"/>
              <w:left w:type="dxa" w:w="100"/>
              <w:bottom w:type="dxa" w:w="80"/>
              <w:right w:type="dxa" w:w="100"/>
            </w:tcMar>
          </w:tcPr>
          <w:p>
            <w:pPr>
              <w:jc w:val="left"/>
            </w:pPr>
            <w:r>
              <w:rPr>
                <w:b w:val="false"/>
                <w:bCs w:val="false"/>
                <w:color w:val="202020"/>
                <w:sz w:val="18"/>
                <w:szCs w:val="18"/>
              </w:rPr>
              <w:t xml:space="preserve">Box 6-9 rounding</w:t>
            </w:r>
          </w:p>
        </w:tc>
        <w:tc>
          <w:tcPr>
            <w:tcW w:type="dxa" w:w="2800"/>
            <w:shd w:fill="F2F2F2" w:color="auto" w:val="clear"/>
            <w:tcMar>
              <w:top w:type="dxa" w:w="80"/>
              <w:left w:type="dxa" w:w="100"/>
              <w:bottom w:type="dxa" w:w="80"/>
              <w:right w:type="dxa" w:w="100"/>
            </w:tcMar>
          </w:tcPr>
          <w:p>
            <w:pPr>
              <w:jc w:val="left"/>
            </w:pPr>
            <w:r>
              <w:rPr>
                <w:b w:val="false"/>
                <w:bCs w:val="false"/>
                <w:color w:val="202020"/>
                <w:sz w:val="18"/>
                <w:szCs w:val="18"/>
              </w:rPr>
              <w:t xml:space="preserve">£1,234.50 net</w:t>
            </w:r>
          </w:p>
        </w:tc>
        <w:tc>
          <w:tcPr>
            <w:tcW w:type="dxa" w:w="2446"/>
            <w:shd w:fill="F2F2F2" w:color="auto" w:val="clear"/>
            <w:tcMar>
              <w:top w:type="dxa" w:w="80"/>
              <w:left w:type="dxa" w:w="100"/>
              <w:bottom w:type="dxa" w:w="80"/>
              <w:right w:type="dxa" w:w="100"/>
            </w:tcMar>
          </w:tcPr>
          <w:p>
            <w:pPr>
              <w:jc w:val="left"/>
            </w:pPr>
            <w:r>
              <w:rPr>
                <w:b w:val="false"/>
                <w:bCs w:val="false"/>
                <w:color w:val="202020"/>
                <w:sz w:val="18"/>
                <w:szCs w:val="18"/>
              </w:rPr>
              <w:t xml:space="preserve">£1,235 (round-half-up, Rule 3.3.6a)</w:t>
            </w:r>
          </w:p>
        </w:tc>
        <w:tc>
          <w:tcPr>
            <w:tcW w:type="dxa" w:w="2400"/>
            <w:shd w:fill="F2F2F2" w:color="auto" w:val="clear"/>
            <w:tcMar>
              <w:top w:type="dxa" w:w="80"/>
              <w:left w:type="dxa" w:w="100"/>
              <w:bottom w:type="dxa" w:w="80"/>
              <w:right w:type="dxa" w:w="100"/>
            </w:tcMar>
          </w:tcPr>
          <w:p>
            <w:pPr>
              <w:jc w:val="left"/>
            </w:pPr>
            <w:r>
              <w:rPr>
                <w:b w:val="false"/>
                <w:bCs w:val="false"/>
                <w:color w:val="202020"/>
                <w:sz w:val="18"/>
                <w:szCs w:val="18"/>
              </w:rPr>
              <w:t xml:space="preserve">pass</w:t>
            </w:r>
          </w:p>
        </w:tc>
      </w:tr>
      <w:tr>
        <w:tc>
          <w:tcPr>
            <w:tcW w:type="dxa" w:w="2100"/>
            <w:tcMar>
              <w:top w:type="dxa" w:w="80"/>
              <w:left w:type="dxa" w:w="100"/>
              <w:bottom w:type="dxa" w:w="80"/>
              <w:right w:type="dxa" w:w="100"/>
            </w:tcMar>
          </w:tcPr>
          <w:p>
            <w:pPr>
              <w:jc w:val="left"/>
            </w:pPr>
            <w:r>
              <w:rPr>
                <w:b w:val="false"/>
                <w:bCs w:val="false"/>
                <w:color w:val="202020"/>
                <w:sz w:val="18"/>
                <w:szCs w:val="18"/>
              </w:rPr>
              <w:t xml:space="preserve">Registration, rolling 12-month test</w:t>
            </w:r>
          </w:p>
        </w:tc>
        <w:tc>
          <w:tcPr>
            <w:tcW w:type="dxa" w:w="2800"/>
            <w:tcMar>
              <w:top w:type="dxa" w:w="80"/>
              <w:left w:type="dxa" w:w="100"/>
              <w:bottom w:type="dxa" w:w="80"/>
              <w:right w:type="dxa" w:w="100"/>
            </w:tcMar>
          </w:tcPr>
          <w:p>
            <w:pPr>
              <w:jc w:val="left"/>
            </w:pPr>
            <w:r>
              <w:rPr>
                <w:b w:val="false"/>
                <w:bCs w:val="false"/>
                <w:color w:val="202020"/>
                <w:sz w:val="18"/>
                <w:szCs w:val="18"/>
              </w:rPr>
              <w:t xml:space="preserve">£95,000 rolling turnover</w:t>
            </w:r>
          </w:p>
        </w:tc>
        <w:tc>
          <w:tcPr>
            <w:tcW w:type="dxa" w:w="2446"/>
            <w:tcMar>
              <w:top w:type="dxa" w:w="80"/>
              <w:left w:type="dxa" w:w="100"/>
              <w:bottom w:type="dxa" w:w="80"/>
              <w:right w:type="dxa" w:w="100"/>
            </w:tcMar>
          </w:tcPr>
          <w:p>
            <w:pPr>
              <w:jc w:val="left"/>
            </w:pPr>
            <w:r>
              <w:rPr>
                <w:b w:val="false"/>
                <w:bCs w:val="false"/>
                <w:color w:val="202020"/>
                <w:sz w:val="18"/>
                <w:szCs w:val="18"/>
              </w:rPr>
              <w:t xml:space="preserve">must register</w:t>
            </w:r>
          </w:p>
        </w:tc>
        <w:tc>
          <w:tcPr>
            <w:tcW w:type="dxa" w:w="2400"/>
            <w:tcMar>
              <w:top w:type="dxa" w:w="80"/>
              <w:left w:type="dxa" w:w="100"/>
              <w:bottom w:type="dxa" w:w="80"/>
              <w:right w:type="dxa" w:w="100"/>
            </w:tcMar>
          </w:tcPr>
          <w:p>
            <w:pPr>
              <w:jc w:val="left"/>
            </w:pPr>
            <w:r>
              <w:rPr>
                <w:b w:val="false"/>
                <w:bCs w:val="false"/>
                <w:color w:val="202020"/>
                <w:sz w:val="18"/>
                <w:szCs w:val="18"/>
              </w:rPr>
              <w:t xml:space="preserve">pass</w:t>
            </w:r>
          </w:p>
        </w:tc>
      </w:tr>
      <w:tr>
        <w:tc>
          <w:tcPr>
            <w:tcW w:type="dxa" w:w="2100"/>
            <w:shd w:fill="F2F2F2" w:color="auto" w:val="clear"/>
            <w:tcMar>
              <w:top w:type="dxa" w:w="80"/>
              <w:left w:type="dxa" w:w="100"/>
              <w:bottom w:type="dxa" w:w="80"/>
              <w:right w:type="dxa" w:w="100"/>
            </w:tcMar>
          </w:tcPr>
          <w:p>
            <w:pPr>
              <w:jc w:val="left"/>
            </w:pPr>
            <w:r>
              <w:rPr>
                <w:b w:val="false"/>
                <w:bCs w:val="false"/>
                <w:color w:val="202020"/>
                <w:sz w:val="18"/>
                <w:szCs w:val="18"/>
              </w:rPr>
              <w:t xml:space="preserve">Registration, 30-day forecast test</w:t>
            </w:r>
          </w:p>
        </w:tc>
        <w:tc>
          <w:tcPr>
            <w:tcW w:type="dxa" w:w="2800"/>
            <w:shd w:fill="F2F2F2" w:color="auto" w:val="clear"/>
            <w:tcMar>
              <w:top w:type="dxa" w:w="80"/>
              <w:left w:type="dxa" w:w="100"/>
              <w:bottom w:type="dxa" w:w="80"/>
              <w:right w:type="dxa" w:w="100"/>
            </w:tcMar>
          </w:tcPr>
          <w:p>
            <w:pPr>
              <w:jc w:val="left"/>
            </w:pPr>
            <w:r>
              <w:rPr>
                <w:b w:val="false"/>
                <w:bCs w:val="false"/>
                <w:color w:val="202020"/>
                <w:sz w:val="18"/>
                <w:szCs w:val="18"/>
              </w:rPr>
              <w:t xml:space="preserve">£91,000 30-day forecast</w:t>
            </w:r>
          </w:p>
        </w:tc>
        <w:tc>
          <w:tcPr>
            <w:tcW w:type="dxa" w:w="2446"/>
            <w:shd w:fill="F2F2F2" w:color="auto" w:val="clear"/>
            <w:tcMar>
              <w:top w:type="dxa" w:w="80"/>
              <w:left w:type="dxa" w:w="100"/>
              <w:bottom w:type="dxa" w:w="80"/>
              <w:right w:type="dxa" w:w="100"/>
            </w:tcMar>
          </w:tcPr>
          <w:p>
            <w:pPr>
              <w:jc w:val="left"/>
            </w:pPr>
            <w:r>
              <w:rPr>
                <w:b w:val="false"/>
                <w:bCs w:val="false"/>
                <w:color w:val="202020"/>
                <w:sz w:val="18"/>
                <w:szCs w:val="18"/>
              </w:rPr>
              <w:t xml:space="preserve">must register</w:t>
            </w:r>
          </w:p>
        </w:tc>
        <w:tc>
          <w:tcPr>
            <w:tcW w:type="dxa" w:w="2400"/>
            <w:shd w:fill="F2F2F2" w:color="auto" w:val="clear"/>
            <w:tcMar>
              <w:top w:type="dxa" w:w="80"/>
              <w:left w:type="dxa" w:w="100"/>
              <w:bottom w:type="dxa" w:w="80"/>
              <w:right w:type="dxa" w:w="100"/>
            </w:tcMar>
          </w:tcPr>
          <w:p>
            <w:pPr>
              <w:jc w:val="left"/>
            </w:pPr>
            <w:r>
              <w:rPr>
                <w:b w:val="false"/>
                <w:bCs w:val="false"/>
                <w:color w:val="202020"/>
                <w:sz w:val="18"/>
                <w:szCs w:val="18"/>
              </w:rPr>
              <w:t xml:space="preserve">pass</w:t>
            </w:r>
          </w:p>
        </w:tc>
      </w:tr>
      <w:tr>
        <w:tc>
          <w:tcPr>
            <w:tcW w:type="dxa" w:w="2100"/>
            <w:tcMar>
              <w:top w:type="dxa" w:w="80"/>
              <w:left w:type="dxa" w:w="100"/>
              <w:bottom w:type="dxa" w:w="80"/>
              <w:right w:type="dxa" w:w="100"/>
            </w:tcMar>
          </w:tcPr>
          <w:p>
            <w:pPr>
              <w:jc w:val="left"/>
            </w:pPr>
            <w:r>
              <w:rPr>
                <w:b w:val="false"/>
                <w:bCs w:val="false"/>
                <w:color w:val="202020"/>
                <w:sz w:val="18"/>
                <w:szCs w:val="18"/>
              </w:rPr>
              <w:t xml:space="preserve">FRS standard sector rate</w:t>
            </w:r>
          </w:p>
        </w:tc>
        <w:tc>
          <w:tcPr>
            <w:tcW w:type="dxa" w:w="2800"/>
            <w:tcMar>
              <w:top w:type="dxa" w:w="80"/>
              <w:left w:type="dxa" w:w="100"/>
              <w:bottom w:type="dxa" w:w="80"/>
              <w:right w:type="dxa" w:w="100"/>
            </w:tcMar>
          </w:tcPr>
          <w:p>
            <w:pPr>
              <w:jc w:val="left"/>
            </w:pPr>
            <w:r>
              <w:rPr>
                <w:b w:val="false"/>
                <w:bCs w:val="false"/>
                <w:color w:val="202020"/>
                <w:sz w:val="18"/>
                <w:szCs w:val="18"/>
              </w:rPr>
              <w:t xml:space="preserve">Accountancy, £60,000 turnover, £3,000 goods spend</w:t>
            </w:r>
          </w:p>
        </w:tc>
        <w:tc>
          <w:tcPr>
            <w:tcW w:type="dxa" w:w="2446"/>
            <w:tcMar>
              <w:top w:type="dxa" w:w="80"/>
              <w:left w:type="dxa" w:w="100"/>
              <w:bottom w:type="dxa" w:w="80"/>
              <w:right w:type="dxa" w:w="100"/>
            </w:tcMar>
          </w:tcPr>
          <w:p>
            <w:pPr>
              <w:jc w:val="left"/>
            </w:pPr>
            <w:r>
              <w:rPr>
                <w:b w:val="false"/>
                <w:bCs w:val="false"/>
                <w:color w:val="202020"/>
                <w:sz w:val="18"/>
                <w:szCs w:val="18"/>
              </w:rPr>
              <w:t xml:space="preserve">14.5% rate, VAT due £8,700</w:t>
            </w:r>
          </w:p>
        </w:tc>
        <w:tc>
          <w:tcPr>
            <w:tcW w:type="dxa" w:w="2400"/>
            <w:tcMar>
              <w:top w:type="dxa" w:w="80"/>
              <w:left w:type="dxa" w:w="100"/>
              <w:bottom w:type="dxa" w:w="80"/>
              <w:right w:type="dxa" w:w="100"/>
            </w:tcMar>
          </w:tcPr>
          <w:p>
            <w:pPr>
              <w:jc w:val="left"/>
            </w:pPr>
            <w:r>
              <w:rPr>
                <w:b w:val="false"/>
                <w:bCs w:val="false"/>
                <w:color w:val="202020"/>
                <w:sz w:val="18"/>
                <w:szCs w:val="18"/>
              </w:rPr>
              <w:t xml:space="preserve">pass</w:t>
            </w:r>
          </w:p>
        </w:tc>
      </w:tr>
      <w:tr>
        <w:tc>
          <w:tcPr>
            <w:tcW w:type="dxa" w:w="2100"/>
            <w:shd w:fill="F2F2F2" w:color="auto" w:val="clear"/>
            <w:tcMar>
              <w:top w:type="dxa" w:w="80"/>
              <w:left w:type="dxa" w:w="100"/>
              <w:bottom w:type="dxa" w:w="80"/>
              <w:right w:type="dxa" w:w="100"/>
            </w:tcMar>
          </w:tcPr>
          <w:p>
            <w:pPr>
              <w:jc w:val="left"/>
            </w:pPr>
            <w:r>
              <w:rPr>
                <w:b w:val="false"/>
                <w:bCs w:val="false"/>
                <w:color w:val="202020"/>
                <w:sz w:val="18"/>
                <w:szCs w:val="18"/>
              </w:rPr>
              <w:t xml:space="preserve">FRS limited-cost-business override</w:t>
            </w:r>
          </w:p>
        </w:tc>
        <w:tc>
          <w:tcPr>
            <w:tcW w:type="dxa" w:w="2800"/>
            <w:shd w:fill="F2F2F2" w:color="auto" w:val="clear"/>
            <w:tcMar>
              <w:top w:type="dxa" w:w="80"/>
              <w:left w:type="dxa" w:w="100"/>
              <w:bottom w:type="dxa" w:w="80"/>
              <w:right w:type="dxa" w:w="100"/>
            </w:tcMar>
          </w:tcPr>
          <w:p>
            <w:pPr>
              <w:jc w:val="left"/>
            </w:pPr>
            <w:r>
              <w:rPr>
                <w:b w:val="false"/>
                <w:bCs w:val="false"/>
                <w:color w:val="202020"/>
                <w:sz w:val="18"/>
                <w:szCs w:val="18"/>
              </w:rPr>
              <w:t xml:space="preserve">Accountancy, £60,000 turnover, £150 goods spend</w:t>
            </w:r>
          </w:p>
        </w:tc>
        <w:tc>
          <w:tcPr>
            <w:tcW w:type="dxa" w:w="2446"/>
            <w:shd w:fill="F2F2F2" w:color="auto" w:val="clear"/>
            <w:tcMar>
              <w:top w:type="dxa" w:w="80"/>
              <w:left w:type="dxa" w:w="100"/>
              <w:bottom w:type="dxa" w:w="80"/>
              <w:right w:type="dxa" w:w="100"/>
            </w:tcMar>
          </w:tcPr>
          <w:p>
            <w:pPr>
              <w:jc w:val="left"/>
            </w:pPr>
            <w:r>
              <w:rPr>
                <w:b w:val="false"/>
                <w:bCs w:val="false"/>
                <w:color w:val="202020"/>
                <w:sz w:val="18"/>
                <w:szCs w:val="18"/>
              </w:rPr>
              <w:t xml:space="preserve">16.5% rate, VAT due £9,900</w:t>
            </w:r>
          </w:p>
        </w:tc>
        <w:tc>
          <w:tcPr>
            <w:tcW w:type="dxa" w:w="2400"/>
            <w:shd w:fill="F2F2F2" w:color="auto" w:val="clear"/>
            <w:tcMar>
              <w:top w:type="dxa" w:w="80"/>
              <w:left w:type="dxa" w:w="100"/>
              <w:bottom w:type="dxa" w:w="80"/>
              <w:right w:type="dxa" w:w="100"/>
            </w:tcMar>
          </w:tcPr>
          <w:p>
            <w:pPr>
              <w:jc w:val="left"/>
            </w:pPr>
            <w:r>
              <w:rPr>
                <w:b w:val="false"/>
                <w:bCs w:val="false"/>
                <w:color w:val="202020"/>
                <w:sz w:val="18"/>
                <w:szCs w:val="18"/>
              </w:rPr>
              <w:t xml:space="preserve">pass</w:t>
            </w:r>
          </w:p>
        </w:tc>
      </w:tr>
      <w:tr>
        <w:tc>
          <w:tcPr>
            <w:tcW w:type="dxa" w:w="2100"/>
            <w:tcMar>
              <w:top w:type="dxa" w:w="80"/>
              <w:left w:type="dxa" w:w="100"/>
              <w:bottom w:type="dxa" w:w="80"/>
              <w:right w:type="dxa" w:w="100"/>
            </w:tcMar>
          </w:tcPr>
          <w:p>
            <w:pPr>
              <w:jc w:val="left"/>
            </w:pPr>
            <w:r>
              <w:rPr>
                <w:b w:val="false"/>
                <w:bCs w:val="false"/>
                <w:color w:val="202020"/>
                <w:sz w:val="18"/>
                <w:szCs w:val="18"/>
              </w:rPr>
              <w:t xml:space="preserve">FRS capital asset reclaim</w:t>
            </w:r>
          </w:p>
        </w:tc>
        <w:tc>
          <w:tcPr>
            <w:tcW w:type="dxa" w:w="2800"/>
            <w:tcMar>
              <w:top w:type="dxa" w:w="80"/>
              <w:left w:type="dxa" w:w="100"/>
              <w:bottom w:type="dxa" w:w="80"/>
              <w:right w:type="dxa" w:w="100"/>
            </w:tcMar>
          </w:tcPr>
          <w:p>
            <w:pPr>
              <w:jc w:val="left"/>
            </w:pPr>
            <w:r>
              <w:rPr>
                <w:b w:val="false"/>
                <w:bCs w:val="false"/>
                <w:color w:val="202020"/>
                <w:sz w:val="18"/>
                <w:szCs w:val="18"/>
              </w:rPr>
              <w:t xml:space="preserve">£2,500 incl VAT, 20% rate</w:t>
            </w:r>
          </w:p>
        </w:tc>
        <w:tc>
          <w:tcPr>
            <w:tcW w:type="dxa" w:w="2446"/>
            <w:tcMar>
              <w:top w:type="dxa" w:w="80"/>
              <w:left w:type="dxa" w:w="100"/>
              <w:bottom w:type="dxa" w:w="80"/>
              <w:right w:type="dxa" w:w="100"/>
            </w:tcMar>
          </w:tcPr>
          <w:p>
            <w:pPr>
              <w:jc w:val="left"/>
            </w:pPr>
            <w:r>
              <w:rPr>
                <w:b w:val="false"/>
                <w:bCs w:val="false"/>
                <w:color w:val="202020"/>
                <w:sz w:val="18"/>
                <w:szCs w:val="18"/>
              </w:rPr>
              <w:t xml:space="preserve">£416.67 reclaimable</w:t>
            </w:r>
          </w:p>
        </w:tc>
        <w:tc>
          <w:tcPr>
            <w:tcW w:type="dxa" w:w="2400"/>
            <w:tcMar>
              <w:top w:type="dxa" w:w="80"/>
              <w:left w:type="dxa" w:w="100"/>
              <w:bottom w:type="dxa" w:w="80"/>
              <w:right w:type="dxa" w:w="100"/>
            </w:tcMar>
          </w:tcPr>
          <w:p>
            <w:pPr>
              <w:jc w:val="left"/>
            </w:pPr>
            <w:r>
              <w:rPr>
                <w:b w:val="false"/>
                <w:bCs w:val="false"/>
                <w:color w:val="202020"/>
                <w:sz w:val="18"/>
                <w:szCs w:val="18"/>
              </w:rPr>
              <w:t xml:space="preserve">pass</w:t>
            </w:r>
          </w:p>
        </w:tc>
      </w:tr>
      <w:tr>
        <w:tc>
          <w:tcPr>
            <w:tcW w:type="dxa" w:w="2100"/>
            <w:shd w:fill="F2F2F2" w:color="auto" w:val="clear"/>
            <w:tcMar>
              <w:top w:type="dxa" w:w="80"/>
              <w:left w:type="dxa" w:w="100"/>
              <w:bottom w:type="dxa" w:w="80"/>
              <w:right w:type="dxa" w:w="100"/>
            </w:tcMar>
          </w:tcPr>
          <w:p>
            <w:pPr>
              <w:jc w:val="left"/>
            </w:pPr>
            <w:r>
              <w:rPr>
                <w:b w:val="false"/>
                <w:bCs w:val="false"/>
                <w:color w:val="202020"/>
                <w:sz w:val="18"/>
                <w:szCs w:val="18"/>
              </w:rPr>
              <w:t xml:space="preserve">FRS capital asset below threshold</w:t>
            </w:r>
          </w:p>
        </w:tc>
        <w:tc>
          <w:tcPr>
            <w:tcW w:type="dxa" w:w="2800"/>
            <w:shd w:fill="F2F2F2" w:color="auto" w:val="clear"/>
            <w:tcMar>
              <w:top w:type="dxa" w:w="80"/>
              <w:left w:type="dxa" w:w="100"/>
              <w:bottom w:type="dxa" w:w="80"/>
              <w:right w:type="dxa" w:w="100"/>
            </w:tcMar>
          </w:tcPr>
          <w:p>
            <w:pPr>
              <w:jc w:val="left"/>
            </w:pPr>
            <w:r>
              <w:rPr>
                <w:b w:val="false"/>
                <w:bCs w:val="false"/>
                <w:color w:val="202020"/>
                <w:sz w:val="18"/>
                <w:szCs w:val="18"/>
              </w:rPr>
              <w:t xml:space="preserve">£1,800 incl VAT</w:t>
            </w:r>
          </w:p>
        </w:tc>
        <w:tc>
          <w:tcPr>
            <w:tcW w:type="dxa" w:w="2446"/>
            <w:shd w:fill="F2F2F2" w:color="auto" w:val="clear"/>
            <w:tcMar>
              <w:top w:type="dxa" w:w="80"/>
              <w:left w:type="dxa" w:w="100"/>
              <w:bottom w:type="dxa" w:w="80"/>
              <w:right w:type="dxa" w:w="100"/>
            </w:tcMar>
          </w:tcPr>
          <w:p>
            <w:pPr>
              <w:jc w:val="left"/>
            </w:pPr>
            <w:r>
              <w:rPr>
                <w:b w:val="false"/>
                <w:bCs w:val="false"/>
                <w:color w:val="202020"/>
                <w:sz w:val="18"/>
                <w:szCs w:val="18"/>
              </w:rPr>
              <w:t xml:space="preserve">not reclaimable, warning issued</w:t>
            </w:r>
          </w:p>
        </w:tc>
        <w:tc>
          <w:tcPr>
            <w:tcW w:type="dxa" w:w="2400"/>
            <w:shd w:fill="F2F2F2" w:color="auto" w:val="clear"/>
            <w:tcMar>
              <w:top w:type="dxa" w:w="80"/>
              <w:left w:type="dxa" w:w="100"/>
              <w:bottom w:type="dxa" w:w="80"/>
              <w:right w:type="dxa" w:w="100"/>
            </w:tcMar>
          </w:tcPr>
          <w:p>
            <w:pPr>
              <w:jc w:val="left"/>
            </w:pPr>
            <w:r>
              <w:rPr>
                <w:b w:val="false"/>
                <w:bCs w:val="false"/>
                <w:color w:val="202020"/>
                <w:sz w:val="18"/>
                <w:szCs w:val="18"/>
              </w:rPr>
              <w:t xml:space="preserve">pass</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8A1F2D" w:sz="4"/>
              <w:left w:val="single" w:color="8A1F2D" w:sz="4"/>
              <w:bottom w:val="single" w:color="8A1F2D" w:sz="4"/>
              <w:right w:val="single" w:color="8A1F2D" w:sz="4"/>
            </w:tcBorders>
            <w:shd w:fill="FCEEEE" w:color="auto" w:val="clear"/>
            <w:tcMar>
              <w:top w:type="dxa" w:w="140"/>
              <w:left w:type="dxa" w:w="200"/>
              <w:bottom w:type="dxa" w:w="140"/>
              <w:right w:type="dxa" w:w="200"/>
            </w:tcMar>
          </w:tcPr>
          <w:p>
            <w:pPr>
              <w:spacing w:after="60"/>
            </w:pPr>
            <w:r>
              <w:rPr>
                <w:b/>
                <w:bCs/>
                <w:color w:val="8A1F2D"/>
                <w:sz w:val="20"/>
                <w:szCs w:val="20"/>
              </w:rPr>
              <w:t xml:space="preserve">BUILD RULE 12.3</w:t>
            </w:r>
          </w:p>
          <w:p>
            <w:pPr>
              <w:spacing w:after="0"/>
            </w:pPr>
            <w:r>
              <w:rPr>
                <w:color w:val="202020"/>
                <w:sz w:val="20"/>
                <w:szCs w:val="20"/>
              </w:rPr>
              <w:t xml:space="preserve">Treat every row in this table as a permanent regression test. In particular, do not let a future refactor silently change the box 6-9 rounding direction without updating Rule 3.3.6a, VR-27, and this table together, since that direction is a documented default, not a confirmed HMRC rule.</w:t>
            </w:r>
          </w:p>
        </w:tc>
      </w:tr>
    </w:tbl>
    <w:p>
      <w:pPr>
        <w:pStyle w:val="Heading2"/>
        <w:spacing w:after="140" w:before="300"/>
      </w:pPr>
      <w:r>
        <w:t xml:space="preserve">12.4 Income Tax and NIC engine</w:t>
      </w:r>
    </w:p>
    <w:p>
      <w:pPr>
        <w:spacing w:after="150" w:line="300"/>
      </w:pPr>
      <w:r>
        <w:rPr>
          <w:color w:val="202020"/>
          <w:sz w:val="21"/>
          <w:szCs w:val="21"/>
        </w:rPr>
        <w:t xml:space="preserve">Covers Personal Allowance tapering (Rule 3.4.4 area), the fixed-breakpoint band-slicing approach for both non-savings and dividend income with correct stacking (Rule 3.4.5a), the trading allowance choice (Rule 3.4.6), and Class 1, Class 2 and Class 4 NIC (Rule 3.4.7). Deliberately excludes the 2027/28 savings and property rate change and the accompanying income-stacking reorder (Rule 3.4.8): wiring those in is next year's work, not this engine's, and the design note in the code comments says so explicitly rather than leaving it to be discovered by surprise.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shd w:fill="1F2937" w:color="auto" w:val="clear"/>
            <w:tcMar>
              <w:top w:type="dxa" w:w="160"/>
              <w:left w:type="dxa" w:w="200"/>
              <w:bottom w:type="dxa" w:w="160"/>
              <w:right w:type="dxa" w:w="200"/>
            </w:tcMar>
          </w:tcPr>
          <w:p>
            <w:pPr>
              <w:spacing w:after="40"/>
            </w:pPr>
            <w:r>
              <w:rPr>
                <w:rFonts w:ascii="Consolas" w:cs="Consolas" w:eastAsia="Consolas" w:hAnsi="Consolas"/>
                <w:color w:val="E5E7EB"/>
                <w:sz w:val="19"/>
                <w:szCs w:val="19"/>
              </w:rPr>
              <w:t xml:space="preserve">// TaxFlow UK - reference Income Tax and NIC engine (executable specification).</w:t>
            </w:r>
          </w:p>
          <w:p>
            <w:pPr>
              <w:spacing w:after="40"/>
            </w:pPr>
            <w:r>
              <w:rPr>
                <w:rFonts w:ascii="Consolas" w:cs="Consolas" w:eastAsia="Consolas" w:hAnsi="Consolas"/>
                <w:color w:val="E5E7EB"/>
                <w:sz w:val="19"/>
                <w:szCs w:val="19"/>
              </w:rPr>
              <w:t xml:space="preserve">// All money is integer pence. Rates and thresholds are DATA (see rate tables below),</w:t>
            </w:r>
          </w:p>
          <w:p>
            <w:pPr>
              <w:spacing w:after="40"/>
            </w:pPr>
            <w:r>
              <w:rPr>
                <w:rFonts w:ascii="Consolas" w:cs="Consolas" w:eastAsia="Consolas" w:hAnsi="Consolas"/>
                <w:color w:val="E5E7EB"/>
                <w:sz w:val="19"/>
                <w:szCs w:val="19"/>
              </w:rPr>
              <w:t xml:space="preserve">// versioned by tax year, never hardcoded into the logic. Figures are for 2026/27</w:t>
            </w:r>
          </w:p>
          <w:p>
            <w:pPr>
              <w:spacing w:after="40"/>
            </w:pPr>
            <w:r>
              <w:rPr>
                <w:rFonts w:ascii="Consolas" w:cs="Consolas" w:eastAsia="Consolas" w:hAnsi="Consolas"/>
                <w:color w:val="E5E7EB"/>
                <w:sz w:val="19"/>
                <w:szCs w:val="19"/>
              </w:rPr>
              <w:t xml:space="preserve">// (Autumn Budget 2025 dividend rates are already live; savings/property rates below</w:t>
            </w:r>
          </w:p>
          <w:p>
            <w:pPr>
              <w:spacing w:after="40"/>
            </w:pPr>
            <w:r>
              <w:rPr>
                <w:rFonts w:ascii="Consolas" w:cs="Consolas" w:eastAsia="Consolas" w:hAnsi="Consolas"/>
                <w:color w:val="E5E7EB"/>
                <w:sz w:val="19"/>
                <w:szCs w:val="19"/>
              </w:rPr>
              <w:t xml:space="preserve">// are NOT, see Rule 3.4.8, they stay at the ordinary non-savings bands this year).</w:t>
            </w:r>
          </w:p>
          <w:p>
            <w:pPr>
              <w:spacing w:after="40"/>
            </w:pPr>
            <w:r>
              <w:rPr>
                <w:rFonts w:ascii="Consolas" w:cs="Consolas" w:eastAsia="Consolas" w:hAnsi="Consolas"/>
                <w:color w:val="E5E7EB"/>
                <w:sz w:val="19"/>
                <w:szCs w:val="19"/>
              </w:rPr>
              <w:t xml:space="preserve"/>
            </w:r>
          </w:p>
          <w:p>
            <w:pPr>
              <w:spacing w:after="40"/>
            </w:pPr>
            <w:r>
              <w:rPr>
                <w:rFonts w:ascii="Consolas" w:cs="Consolas" w:eastAsia="Consolas" w:hAnsi="Consolas"/>
                <w:color w:val="E5E7EB"/>
                <w:sz w:val="19"/>
                <w:szCs w:val="19"/>
              </w:rPr>
              <w:t xml:space="preserve">export type Pence = number;</w:t>
            </w:r>
          </w:p>
          <w:p>
            <w:pPr>
              <w:spacing w:after="40"/>
            </w:pPr>
            <w:r>
              <w:rPr>
                <w:rFonts w:ascii="Consolas" w:cs="Consolas" w:eastAsia="Consolas" w:hAnsi="Consolas"/>
                <w:color w:val="E5E7EB"/>
                <w:sz w:val="19"/>
                <w:szCs w:val="19"/>
              </w:rPr>
              <w:t xml:space="preserve">const roundP = (x: number): Pence =&gt; Math.round(x);</w:t>
            </w:r>
          </w:p>
          <w:p>
            <w:pPr>
              <w:spacing w:after="40"/>
            </w:pPr>
            <w:r>
              <w:rPr>
                <w:rFonts w:ascii="Consolas" w:cs="Consolas" w:eastAsia="Consolas" w:hAnsi="Consolas"/>
                <w:color w:val="E5E7EB"/>
                <w:sz w:val="19"/>
                <w:szCs w:val="19"/>
              </w:rPr>
              <w:t xml:space="preserve"/>
            </w:r>
          </w:p>
          <w:p>
            <w:pPr>
              <w:spacing w:after="40"/>
            </w:pPr>
            <w:r>
              <w:rPr>
                <w:rFonts w:ascii="Consolas" w:cs="Consolas" w:eastAsia="Consolas" w:hAnsi="Consolas"/>
                <w:color w:val="E5E7EB"/>
                <w:sz w:val="19"/>
                <w:szCs w:val="19"/>
              </w:rPr>
              <w:t xml:space="preserve">// ---------- Personal Allowance and its taper ----------</w:t>
            </w:r>
          </w:p>
          <w:p>
            <w:pPr>
              <w:spacing w:after="40"/>
            </w:pPr>
            <w:r>
              <w:rPr>
                <w:rFonts w:ascii="Consolas" w:cs="Consolas" w:eastAsia="Consolas" w:hAnsi="Consolas"/>
                <w:color w:val="E5E7EB"/>
                <w:sz w:val="19"/>
                <w:szCs w:val="19"/>
              </w:rPr>
              <w:t xml:space="preserve">export const PERSONAL_ALLOWANCE_PENCE = 12_570_00;</w:t>
            </w:r>
          </w:p>
          <w:p>
            <w:pPr>
              <w:spacing w:after="40"/>
            </w:pPr>
            <w:r>
              <w:rPr>
                <w:rFonts w:ascii="Consolas" w:cs="Consolas" w:eastAsia="Consolas" w:hAnsi="Consolas"/>
                <w:color w:val="E5E7EB"/>
                <w:sz w:val="19"/>
                <w:szCs w:val="19"/>
              </w:rPr>
              <w:t xml:space="preserve">export const PA_TAPER_THRESHOLD_PENCE = 100_000_00;</w:t>
            </w:r>
          </w:p>
          <w:p>
            <w:pPr>
              <w:spacing w:after="40"/>
            </w:pPr>
            <w:r>
              <w:rPr>
                <w:rFonts w:ascii="Consolas" w:cs="Consolas" w:eastAsia="Consolas" w:hAnsi="Consolas"/>
                <w:color w:val="E5E7EB"/>
                <w:sz w:val="19"/>
                <w:szCs w:val="19"/>
              </w:rPr>
              <w:t xml:space="preserve">export const PA_TAPER_FULLY_GONE_PENCE = 125_140_00;</w:t>
            </w:r>
          </w:p>
          <w:p>
            <w:pPr>
              <w:spacing w:after="40"/>
            </w:pPr>
            <w:r>
              <w:rPr>
                <w:rFonts w:ascii="Consolas" w:cs="Consolas" w:eastAsia="Consolas" w:hAnsi="Consolas"/>
                <w:color w:val="E5E7EB"/>
                <w:sz w:val="19"/>
                <w:szCs w:val="19"/>
              </w:rPr>
              <w:t xml:space="preserve"/>
            </w:r>
          </w:p>
          <w:p>
            <w:pPr>
              <w:spacing w:after="40"/>
            </w:pPr>
            <w:r>
              <w:rPr>
                <w:rFonts w:ascii="Consolas" w:cs="Consolas" w:eastAsia="Consolas" w:hAnsi="Consolas"/>
                <w:color w:val="E5E7EB"/>
                <w:sz w:val="19"/>
                <w:szCs w:val="19"/>
              </w:rPr>
              <w:t xml:space="preserve">/** £1 of allowance lost per £2 of adjusted net income over £100,000, floor at zero. */</w:t>
            </w:r>
          </w:p>
          <w:p>
            <w:pPr>
              <w:spacing w:after="40"/>
            </w:pPr>
            <w:r>
              <w:rPr>
                <w:rFonts w:ascii="Consolas" w:cs="Consolas" w:eastAsia="Consolas" w:hAnsi="Consolas"/>
                <w:color w:val="E5E7EB"/>
                <w:sz w:val="19"/>
                <w:szCs w:val="19"/>
              </w:rPr>
              <w:t xml:space="preserve">export function taperedPersonalAllowance(adjustedNetIncomePence: Pence): Pence {</w:t>
            </w:r>
          </w:p>
          <w:p>
            <w:pPr>
              <w:spacing w:after="40"/>
            </w:pPr>
            <w:r>
              <w:rPr>
                <w:rFonts w:ascii="Consolas" w:cs="Consolas" w:eastAsia="Consolas" w:hAnsi="Consolas"/>
                <w:color w:val="E5E7EB"/>
                <w:sz w:val="19"/>
                <w:szCs w:val="19"/>
              </w:rPr>
              <w:t xml:space="preserve">  if (adjustedNetIncomePence &lt;= PA_TAPER_THRESHOLD_PENCE) return PERSONAL_ALLOWANCE_PENCE;</w:t>
            </w:r>
          </w:p>
          <w:p>
            <w:pPr>
              <w:spacing w:after="40"/>
            </w:pPr>
            <w:r>
              <w:rPr>
                <w:rFonts w:ascii="Consolas" w:cs="Consolas" w:eastAsia="Consolas" w:hAnsi="Consolas"/>
                <w:color w:val="E5E7EB"/>
                <w:sz w:val="19"/>
                <w:szCs w:val="19"/>
              </w:rPr>
              <w:t xml:space="preserve">  const excess = adjustedNetIncomePence - PA_TAPER_THRESHOLD_PENCE;</w:t>
            </w:r>
          </w:p>
          <w:p>
            <w:pPr>
              <w:spacing w:after="40"/>
            </w:pPr>
            <w:r>
              <w:rPr>
                <w:rFonts w:ascii="Consolas" w:cs="Consolas" w:eastAsia="Consolas" w:hAnsi="Consolas"/>
                <w:color w:val="E5E7EB"/>
                <w:sz w:val="19"/>
                <w:szCs w:val="19"/>
              </w:rPr>
              <w:t xml:space="preserve">  const reduction = Math.floor(excess / 2);</w:t>
            </w:r>
          </w:p>
          <w:p>
            <w:pPr>
              <w:spacing w:after="40"/>
            </w:pPr>
            <w:r>
              <w:rPr>
                <w:rFonts w:ascii="Consolas" w:cs="Consolas" w:eastAsia="Consolas" w:hAnsi="Consolas"/>
                <w:color w:val="E5E7EB"/>
                <w:sz w:val="19"/>
                <w:szCs w:val="19"/>
              </w:rPr>
              <w:t xml:space="preserve">  return Math.max(0, PERSONAL_ALLOWANCE_PENCE - reduction);</w:t>
            </w:r>
          </w:p>
          <w:p>
            <w:pPr>
              <w:spacing w:after="40"/>
            </w:pPr>
            <w:r>
              <w:rPr>
                <w:rFonts w:ascii="Consolas" w:cs="Consolas" w:eastAsia="Consolas" w:hAnsi="Consolas"/>
                <w:color w:val="E5E7EB"/>
                <w:sz w:val="19"/>
                <w:szCs w:val="19"/>
              </w:rPr>
              <w:t xml:space="preserve">}</w:t>
            </w:r>
          </w:p>
          <w:p>
            <w:pPr>
              <w:spacing w:after="40"/>
            </w:pPr>
            <w:r>
              <w:rPr>
                <w:rFonts w:ascii="Consolas" w:cs="Consolas" w:eastAsia="Consolas" w:hAnsi="Consolas"/>
                <w:color w:val="E5E7EB"/>
                <w:sz w:val="19"/>
                <w:szCs w:val="19"/>
              </w:rPr>
              <w:t xml:space="preserve"/>
            </w:r>
          </w:p>
          <w:p>
            <w:pPr>
              <w:spacing w:after="40"/>
            </w:pPr>
            <w:r>
              <w:rPr>
                <w:rFonts w:ascii="Consolas" w:cs="Consolas" w:eastAsia="Consolas" w:hAnsi="Consolas"/>
                <w:color w:val="E5E7EB"/>
                <w:sz w:val="19"/>
                <w:szCs w:val="19"/>
              </w:rPr>
              <w:t xml:space="preserve">// ---------- generic band-slicing helper ----------</w:t>
            </w:r>
          </w:p>
          <w:p>
            <w:pPr>
              <w:spacing w:after="40"/>
            </w:pPr>
            <w:r>
              <w:rPr>
                <w:rFonts w:ascii="Consolas" w:cs="Consolas" w:eastAsia="Consolas" w:hAnsi="Consolas"/>
                <w:color w:val="E5E7EB"/>
                <w:sz w:val="19"/>
                <w:szCs w:val="19"/>
              </w:rPr>
              <w:t xml:space="preserve">export interface Band { fromPence: Pence; toPence: Pence; ratePct: number } // toPence: Infinity for top band</w:t>
            </w:r>
          </w:p>
          <w:p>
            <w:pPr>
              <w:spacing w:after="40"/>
            </w:pPr>
            <w:r>
              <w:rPr>
                <w:rFonts w:ascii="Consolas" w:cs="Consolas" w:eastAsia="Consolas" w:hAnsi="Consolas"/>
                <w:color w:val="E5E7EB"/>
                <w:sz w:val="19"/>
                <w:szCs w:val="19"/>
              </w:rPr>
              <w:t xml:space="preserve"/>
            </w:r>
          </w:p>
          <w:p>
            <w:pPr>
              <w:spacing w:after="40"/>
            </w:pPr>
            <w:r>
              <w:rPr>
                <w:rFonts w:ascii="Consolas" w:cs="Consolas" w:eastAsia="Consolas" w:hAnsi="Consolas"/>
                <w:color w:val="E5E7EB"/>
                <w:sz w:val="19"/>
                <w:szCs w:val="19"/>
              </w:rPr>
              <w:t xml:space="preserve">/** Tax owed on the slice [sliceStart, sliceEnd) of gross income, spread across fixed bands. */</w:t>
            </w:r>
          </w:p>
          <w:p>
            <w:pPr>
              <w:spacing w:after="40"/>
            </w:pPr>
            <w:r>
              <w:rPr>
                <w:rFonts w:ascii="Consolas" w:cs="Consolas" w:eastAsia="Consolas" w:hAnsi="Consolas"/>
                <w:color w:val="E5E7EB"/>
                <w:sz w:val="19"/>
                <w:szCs w:val="19"/>
              </w:rPr>
              <w:t xml:space="preserve">export function taxSliceAcrossBands(sliceStartPence: Pence, sliceEndPence: Pence, bands: Band[]): Pence {</w:t>
            </w:r>
          </w:p>
          <w:p>
            <w:pPr>
              <w:spacing w:after="40"/>
            </w:pPr>
            <w:r>
              <w:rPr>
                <w:rFonts w:ascii="Consolas" w:cs="Consolas" w:eastAsia="Consolas" w:hAnsi="Consolas"/>
                <w:color w:val="E5E7EB"/>
                <w:sz w:val="19"/>
                <w:szCs w:val="19"/>
              </w:rPr>
              <w:t xml:space="preserve">  if (sliceEndPence &lt;= sliceStartPence) return 0;</w:t>
            </w:r>
          </w:p>
          <w:p>
            <w:pPr>
              <w:spacing w:after="40"/>
            </w:pPr>
            <w:r>
              <w:rPr>
                <w:rFonts w:ascii="Consolas" w:cs="Consolas" w:eastAsia="Consolas" w:hAnsi="Consolas"/>
                <w:color w:val="E5E7EB"/>
                <w:sz w:val="19"/>
                <w:szCs w:val="19"/>
              </w:rPr>
              <w:t xml:space="preserve">  let tax = 0;</w:t>
            </w:r>
          </w:p>
          <w:p>
            <w:pPr>
              <w:spacing w:after="40"/>
            </w:pPr>
            <w:r>
              <w:rPr>
                <w:rFonts w:ascii="Consolas" w:cs="Consolas" w:eastAsia="Consolas" w:hAnsi="Consolas"/>
                <w:color w:val="E5E7EB"/>
                <w:sz w:val="19"/>
                <w:szCs w:val="19"/>
              </w:rPr>
              <w:t xml:space="preserve">  for (const b of bands) {</w:t>
            </w:r>
          </w:p>
          <w:p>
            <w:pPr>
              <w:spacing w:after="40"/>
            </w:pPr>
            <w:r>
              <w:rPr>
                <w:rFonts w:ascii="Consolas" w:cs="Consolas" w:eastAsia="Consolas" w:hAnsi="Consolas"/>
                <w:color w:val="E5E7EB"/>
                <w:sz w:val="19"/>
                <w:szCs w:val="19"/>
              </w:rPr>
              <w:t xml:space="preserve">    const lo = Math.max(sliceStartPence, b.fromPence);</w:t>
            </w:r>
          </w:p>
          <w:p>
            <w:pPr>
              <w:spacing w:after="40"/>
            </w:pPr>
            <w:r>
              <w:rPr>
                <w:rFonts w:ascii="Consolas" w:cs="Consolas" w:eastAsia="Consolas" w:hAnsi="Consolas"/>
                <w:color w:val="E5E7EB"/>
                <w:sz w:val="19"/>
                <w:szCs w:val="19"/>
              </w:rPr>
              <w:t xml:space="preserve">    const hi = Math.min(sliceEndPence, b.toPence);</w:t>
            </w:r>
          </w:p>
          <w:p>
            <w:pPr>
              <w:spacing w:after="40"/>
            </w:pPr>
            <w:r>
              <w:rPr>
                <w:rFonts w:ascii="Consolas" w:cs="Consolas" w:eastAsia="Consolas" w:hAnsi="Consolas"/>
                <w:color w:val="E5E7EB"/>
                <w:sz w:val="19"/>
                <w:szCs w:val="19"/>
              </w:rPr>
              <w:t xml:space="preserve">    if (hi &gt; lo) tax += roundP(((hi - lo) * b.ratePct) / 100);</w:t>
            </w:r>
          </w:p>
          <w:p>
            <w:pPr>
              <w:spacing w:after="40"/>
            </w:pPr>
            <w:r>
              <w:rPr>
                <w:rFonts w:ascii="Consolas" w:cs="Consolas" w:eastAsia="Consolas" w:hAnsi="Consolas"/>
                <w:color w:val="E5E7EB"/>
                <w:sz w:val="19"/>
                <w:szCs w:val="19"/>
              </w:rPr>
              <w:t xml:space="preserve">  }</w:t>
            </w:r>
          </w:p>
          <w:p>
            <w:pPr>
              <w:spacing w:after="40"/>
            </w:pPr>
            <w:r>
              <w:rPr>
                <w:rFonts w:ascii="Consolas" w:cs="Consolas" w:eastAsia="Consolas" w:hAnsi="Consolas"/>
                <w:color w:val="E5E7EB"/>
                <w:sz w:val="19"/>
                <w:szCs w:val="19"/>
              </w:rPr>
              <w:t xml:space="preserve">  return tax;</w:t>
            </w:r>
          </w:p>
          <w:p>
            <w:pPr>
              <w:spacing w:after="40"/>
            </w:pPr>
            <w:r>
              <w:rPr>
                <w:rFonts w:ascii="Consolas" w:cs="Consolas" w:eastAsia="Consolas" w:hAnsi="Consolas"/>
                <w:color w:val="E5E7EB"/>
                <w:sz w:val="19"/>
                <w:szCs w:val="19"/>
              </w:rPr>
              <w:t xml:space="preserve">}</w:t>
            </w:r>
          </w:p>
          <w:p>
            <w:pPr>
              <w:spacing w:after="40"/>
            </w:pPr>
            <w:r>
              <w:rPr>
                <w:rFonts w:ascii="Consolas" w:cs="Consolas" w:eastAsia="Consolas" w:hAnsi="Consolas"/>
                <w:color w:val="E5E7EB"/>
                <w:sz w:val="19"/>
                <w:szCs w:val="19"/>
              </w:rPr>
              <w:t xml:space="preserve"/>
            </w:r>
          </w:p>
          <w:p>
            <w:pPr>
              <w:spacing w:after="40"/>
            </w:pPr>
            <w:r>
              <w:rPr>
                <w:rFonts w:ascii="Consolas" w:cs="Consolas" w:eastAsia="Consolas" w:hAnsi="Consolas"/>
                <w:color w:val="E5E7EB"/>
                <w:sz w:val="19"/>
                <w:szCs w:val="19"/>
              </w:rPr>
              <w:t xml:space="preserve">// ---------- 2026/27 band breakpoints (fixed gross-income edges, Rule set out below) ----------</w:t>
            </w:r>
          </w:p>
          <w:p>
            <w:pPr>
              <w:spacing w:after="40"/>
            </w:pPr>
            <w:r>
              <w:rPr>
                <w:rFonts w:ascii="Consolas" w:cs="Consolas" w:eastAsia="Consolas" w:hAnsi="Consolas"/>
                <w:color w:val="E5E7EB"/>
                <w:sz w:val="19"/>
                <w:szCs w:val="19"/>
              </w:rPr>
              <w:t xml:space="preserve">export const BASIC_RATE_LIMIT_PENCE = 50_270_00;</w:t>
            </w:r>
          </w:p>
          <w:p>
            <w:pPr>
              <w:spacing w:after="40"/>
            </w:pPr>
            <w:r>
              <w:rPr>
                <w:rFonts w:ascii="Consolas" w:cs="Consolas" w:eastAsia="Consolas" w:hAnsi="Consolas"/>
                <w:color w:val="E5E7EB"/>
                <w:sz w:val="19"/>
                <w:szCs w:val="19"/>
              </w:rPr>
              <w:t xml:space="preserve">export const HIGHER_RATE_LIMIT_PENCE = 125_140_00;</w:t>
            </w:r>
          </w:p>
          <w:p>
            <w:pPr>
              <w:spacing w:after="40"/>
            </w:pPr>
            <w:r>
              <w:rPr>
                <w:rFonts w:ascii="Consolas" w:cs="Consolas" w:eastAsia="Consolas" w:hAnsi="Consolas"/>
                <w:color w:val="E5E7EB"/>
                <w:sz w:val="19"/>
                <w:szCs w:val="19"/>
              </w:rPr>
              <w:t xml:space="preserve"/>
            </w:r>
          </w:p>
          <w:p>
            <w:pPr>
              <w:spacing w:after="40"/>
            </w:pPr>
            <w:r>
              <w:rPr>
                <w:rFonts w:ascii="Consolas" w:cs="Consolas" w:eastAsia="Consolas" w:hAnsi="Consolas"/>
                <w:color w:val="E5E7EB"/>
                <w:sz w:val="19"/>
                <w:szCs w:val="19"/>
              </w:rPr>
              <w:t xml:space="preserve">/**</w:t>
            </w:r>
          </w:p>
          <w:p>
            <w:pPr>
              <w:spacing w:after="40"/>
            </w:pPr>
            <w:r>
              <w:rPr>
                <w:rFonts w:ascii="Consolas" w:cs="Consolas" w:eastAsia="Consolas" w:hAnsi="Consolas"/>
                <w:color w:val="E5E7EB"/>
                <w:sz w:val="19"/>
                <w:szCs w:val="19"/>
              </w:rPr>
              <w:t xml:space="preserve"> * Non-savings/non-dividend bands use FIXED gross-income breakpoints (taperedPA, 50270,</w:t>
            </w:r>
          </w:p>
          <w:p>
            <w:pPr>
              <w:spacing w:after="40"/>
            </w:pPr>
            <w:r>
              <w:rPr>
                <w:rFonts w:ascii="Consolas" w:cs="Consolas" w:eastAsia="Consolas" w:hAnsi="Consolas"/>
                <w:color w:val="E5E7EB"/>
                <w:sz w:val="19"/>
                <w:szCs w:val="19"/>
              </w:rPr>
              <w:t xml:space="preserve"> * 125140) as band edges, rather than recomputing band widths from a shrunk taxable-income</w:t>
            </w:r>
          </w:p>
          <w:p>
            <w:pPr>
              <w:spacing w:after="40"/>
            </w:pPr>
            <w:r>
              <w:rPr>
                <w:rFonts w:ascii="Consolas" w:cs="Consolas" w:eastAsia="Consolas" w:hAnsi="Consolas"/>
                <w:color w:val="E5E7EB"/>
                <w:sz w:val="19"/>
                <w:szCs w:val="19"/>
              </w:rPr>
              <w:t xml:space="preserve"> * base. This is both simpler and correct at every income level including the taper zone,</w:t>
            </w:r>
          </w:p>
          <w:p>
            <w:pPr>
              <w:spacing w:after="40"/>
            </w:pPr>
            <w:r>
              <w:rPr>
                <w:rFonts w:ascii="Consolas" w:cs="Consolas" w:eastAsia="Consolas" w:hAnsi="Consolas"/>
                <w:color w:val="E5E7EB"/>
                <w:sz w:val="19"/>
                <w:szCs w:val="19"/>
              </w:rPr>
              <w:t xml:space="preserve"> * because the taper zone (&gt;£100,000) always lies above the £50,270 higher-rate threshold</w:t>
            </w:r>
          </w:p>
          <w:p>
            <w:pPr>
              <w:spacing w:after="40"/>
            </w:pPr>
            <w:r>
              <w:rPr>
                <w:rFonts w:ascii="Consolas" w:cs="Consolas" w:eastAsia="Consolas" w:hAnsi="Consolas"/>
                <w:color w:val="E5E7EB"/>
                <w:sz w:val="19"/>
                <w:szCs w:val="19"/>
              </w:rPr>
              <w:t xml:space="preserve"> * regardless of how much allowance remains, so the two mechanisms never need to interact</w:t>
            </w:r>
          </w:p>
          <w:p>
            <w:pPr>
              <w:spacing w:after="40"/>
            </w:pPr>
            <w:r>
              <w:rPr>
                <w:rFonts w:ascii="Consolas" w:cs="Consolas" w:eastAsia="Consolas" w:hAnsi="Consolas"/>
                <w:color w:val="E5E7EB"/>
                <w:sz w:val="19"/>
                <w:szCs w:val="19"/>
              </w:rPr>
              <w:t xml:space="preserve"> * inside a single band width calculation.</w:t>
            </w:r>
          </w:p>
          <w:p>
            <w:pPr>
              <w:spacing w:after="40"/>
            </w:pPr>
            <w:r>
              <w:rPr>
                <w:rFonts w:ascii="Consolas" w:cs="Consolas" w:eastAsia="Consolas" w:hAnsi="Consolas"/>
                <w:color w:val="E5E7EB"/>
                <w:sz w:val="19"/>
                <w:szCs w:val="19"/>
              </w:rPr>
              <w:t xml:space="preserve"> */</w:t>
            </w:r>
          </w:p>
          <w:p>
            <w:pPr>
              <w:spacing w:after="40"/>
            </w:pPr>
            <w:r>
              <w:rPr>
                <w:rFonts w:ascii="Consolas" w:cs="Consolas" w:eastAsia="Consolas" w:hAnsi="Consolas"/>
                <w:color w:val="E5E7EB"/>
                <w:sz w:val="19"/>
                <w:szCs w:val="19"/>
              </w:rPr>
              <w:t xml:space="preserve">export function nonSavingsBands(taperedPAPence: Pence): Band[] {</w:t>
            </w:r>
          </w:p>
          <w:p>
            <w:pPr>
              <w:spacing w:after="40"/>
            </w:pPr>
            <w:r>
              <w:rPr>
                <w:rFonts w:ascii="Consolas" w:cs="Consolas" w:eastAsia="Consolas" w:hAnsi="Consolas"/>
                <w:color w:val="E5E7EB"/>
                <w:sz w:val="19"/>
                <w:szCs w:val="19"/>
              </w:rPr>
              <w:t xml:space="preserve">  return [</w:t>
            </w:r>
          </w:p>
          <w:p>
            <w:pPr>
              <w:spacing w:after="40"/>
            </w:pPr>
            <w:r>
              <w:rPr>
                <w:rFonts w:ascii="Consolas" w:cs="Consolas" w:eastAsia="Consolas" w:hAnsi="Consolas"/>
                <w:color w:val="E5E7EB"/>
                <w:sz w:val="19"/>
                <w:szCs w:val="19"/>
              </w:rPr>
              <w:t xml:space="preserve">    { fromPence: 0, toPence: taperedPAPence, ratePct: 0 },</w:t>
            </w:r>
          </w:p>
          <w:p>
            <w:pPr>
              <w:spacing w:after="40"/>
            </w:pPr>
            <w:r>
              <w:rPr>
                <w:rFonts w:ascii="Consolas" w:cs="Consolas" w:eastAsia="Consolas" w:hAnsi="Consolas"/>
                <w:color w:val="E5E7EB"/>
                <w:sz w:val="19"/>
                <w:szCs w:val="19"/>
              </w:rPr>
              <w:t xml:space="preserve">    { fromPence: taperedPAPence, toPence: BASIC_RATE_LIMIT_PENCE, ratePct: 20 },</w:t>
            </w:r>
          </w:p>
          <w:p>
            <w:pPr>
              <w:spacing w:after="40"/>
            </w:pPr>
            <w:r>
              <w:rPr>
                <w:rFonts w:ascii="Consolas" w:cs="Consolas" w:eastAsia="Consolas" w:hAnsi="Consolas"/>
                <w:color w:val="E5E7EB"/>
                <w:sz w:val="19"/>
                <w:szCs w:val="19"/>
              </w:rPr>
              <w:t xml:space="preserve">    { fromPence: BASIC_RATE_LIMIT_PENCE, toPence: HIGHER_RATE_LIMIT_PENCE, ratePct: 40 },</w:t>
            </w:r>
          </w:p>
          <w:p>
            <w:pPr>
              <w:spacing w:after="40"/>
            </w:pPr>
            <w:r>
              <w:rPr>
                <w:rFonts w:ascii="Consolas" w:cs="Consolas" w:eastAsia="Consolas" w:hAnsi="Consolas"/>
                <w:color w:val="E5E7EB"/>
                <w:sz w:val="19"/>
                <w:szCs w:val="19"/>
              </w:rPr>
              <w:t xml:space="preserve">    { fromPence: HIGHER_RATE_LIMIT_PENCE, toPence: Infinity, ratePct: 45 },</w:t>
            </w:r>
          </w:p>
          <w:p>
            <w:pPr>
              <w:spacing w:after="40"/>
            </w:pPr>
            <w:r>
              <w:rPr>
                <w:rFonts w:ascii="Consolas" w:cs="Consolas" w:eastAsia="Consolas" w:hAnsi="Consolas"/>
                <w:color w:val="E5E7EB"/>
                <w:sz w:val="19"/>
                <w:szCs w:val="19"/>
              </w:rPr>
              <w:t xml:space="preserve">  ];</w:t>
            </w:r>
          </w:p>
          <w:p>
            <w:pPr>
              <w:spacing w:after="40"/>
            </w:pPr>
            <w:r>
              <w:rPr>
                <w:rFonts w:ascii="Consolas" w:cs="Consolas" w:eastAsia="Consolas" w:hAnsi="Consolas"/>
                <w:color w:val="E5E7EB"/>
                <w:sz w:val="19"/>
                <w:szCs w:val="19"/>
              </w:rPr>
              <w:t xml:space="preserve">}</w:t>
            </w:r>
          </w:p>
          <w:p>
            <w:pPr>
              <w:spacing w:after="40"/>
            </w:pPr>
            <w:r>
              <w:rPr>
                <w:rFonts w:ascii="Consolas" w:cs="Consolas" w:eastAsia="Consolas" w:hAnsi="Consolas"/>
                <w:color w:val="E5E7EB"/>
                <w:sz w:val="19"/>
                <w:szCs w:val="19"/>
              </w:rPr>
              <w:t xml:space="preserve"/>
            </w:r>
          </w:p>
          <w:p>
            <w:pPr>
              <w:spacing w:after="40"/>
            </w:pPr>
            <w:r>
              <w:rPr>
                <w:rFonts w:ascii="Consolas" w:cs="Consolas" w:eastAsia="Consolas" w:hAnsi="Consolas"/>
                <w:color w:val="E5E7EB"/>
                <w:sz w:val="19"/>
                <w:szCs w:val="19"/>
              </w:rPr>
              <w:t xml:space="preserve">// ---------- dividends: own rates, own £500 allowance, stacked on top (Rule 3.4.5a) ----------</w:t>
            </w:r>
          </w:p>
          <w:p>
            <w:pPr>
              <w:spacing w:after="40"/>
            </w:pPr>
            <w:r>
              <w:rPr>
                <w:rFonts w:ascii="Consolas" w:cs="Consolas" w:eastAsia="Consolas" w:hAnsi="Consolas"/>
                <w:color w:val="E5E7EB"/>
                <w:sz w:val="19"/>
                <w:szCs w:val="19"/>
              </w:rPr>
              <w:t xml:space="preserve">export const DIVIDEND_ALLOWANCE_PENCE = 500_00;</w:t>
            </w:r>
          </w:p>
          <w:p>
            <w:pPr>
              <w:spacing w:after="40"/>
            </w:pPr>
            <w:r>
              <w:rPr>
                <w:rFonts w:ascii="Consolas" w:cs="Consolas" w:eastAsia="Consolas" w:hAnsi="Consolas"/>
                <w:color w:val="E5E7EB"/>
                <w:sz w:val="19"/>
                <w:szCs w:val="19"/>
              </w:rPr>
              <w:t xml:space="preserve">export const DIVIDEND_HIGHER_BAND_WIDTH_PENCE = 125_140_00 - 50_270_00; // 74,870</w:t>
            </w:r>
          </w:p>
          <w:p>
            <w:pPr>
              <w:spacing w:after="40"/>
            </w:pPr>
            <w:r>
              <w:rPr>
                <w:rFonts w:ascii="Consolas" w:cs="Consolas" w:eastAsia="Consolas" w:hAnsi="Consolas"/>
                <w:color w:val="E5E7EB"/>
                <w:sz w:val="19"/>
                <w:szCs w:val="19"/>
              </w:rPr>
              <w:t xml:space="preserve"/>
            </w:r>
          </w:p>
          <w:p>
            <w:pPr>
              <w:spacing w:after="40"/>
            </w:pPr>
            <w:r>
              <w:rPr>
                <w:rFonts w:ascii="Consolas" w:cs="Consolas" w:eastAsia="Consolas" w:hAnsi="Consolas"/>
                <w:color w:val="E5E7EB"/>
                <w:sz w:val="19"/>
                <w:szCs w:val="19"/>
              </w:rPr>
              <w:t xml:space="preserve">/** Dividend bands sit above non-dividend income, at the SAME breakpoints, 0%/10.75%/35.75%/39.35%. */</w:t>
            </w:r>
          </w:p>
          <w:p>
            <w:pPr>
              <w:spacing w:after="40"/>
            </w:pPr>
            <w:r>
              <w:rPr>
                <w:rFonts w:ascii="Consolas" w:cs="Consolas" w:eastAsia="Consolas" w:hAnsi="Consolas"/>
                <w:color w:val="E5E7EB"/>
                <w:sz w:val="19"/>
                <w:szCs w:val="19"/>
              </w:rPr>
              <w:t xml:space="preserve">export function dividendBands(taperedPAPence: Pence): Band[] {</w:t>
            </w:r>
          </w:p>
          <w:p>
            <w:pPr>
              <w:spacing w:after="40"/>
            </w:pPr>
            <w:r>
              <w:rPr>
                <w:rFonts w:ascii="Consolas" w:cs="Consolas" w:eastAsia="Consolas" w:hAnsi="Consolas"/>
                <w:color w:val="E5E7EB"/>
                <w:sz w:val="19"/>
                <w:szCs w:val="19"/>
              </w:rPr>
              <w:t xml:space="preserve">  return [</w:t>
            </w:r>
          </w:p>
          <w:p>
            <w:pPr>
              <w:spacing w:after="40"/>
            </w:pPr>
            <w:r>
              <w:rPr>
                <w:rFonts w:ascii="Consolas" w:cs="Consolas" w:eastAsia="Consolas" w:hAnsi="Consolas"/>
                <w:color w:val="E5E7EB"/>
                <w:sz w:val="19"/>
                <w:szCs w:val="19"/>
              </w:rPr>
              <w:t xml:space="preserve">    { fromPence: 0, toPence: taperedPAPence, ratePct: 0 },</w:t>
            </w:r>
          </w:p>
          <w:p>
            <w:pPr>
              <w:spacing w:after="40"/>
            </w:pPr>
            <w:r>
              <w:rPr>
                <w:rFonts w:ascii="Consolas" w:cs="Consolas" w:eastAsia="Consolas" w:hAnsi="Consolas"/>
                <w:color w:val="E5E7EB"/>
                <w:sz w:val="19"/>
                <w:szCs w:val="19"/>
              </w:rPr>
              <w:t xml:space="preserve">    { fromPence: taperedPAPence, toPence: BASIC_RATE_LIMIT_PENCE, ratePct: 10.75 },</w:t>
            </w:r>
          </w:p>
          <w:p>
            <w:pPr>
              <w:spacing w:after="40"/>
            </w:pPr>
            <w:r>
              <w:rPr>
                <w:rFonts w:ascii="Consolas" w:cs="Consolas" w:eastAsia="Consolas" w:hAnsi="Consolas"/>
                <w:color w:val="E5E7EB"/>
                <w:sz w:val="19"/>
                <w:szCs w:val="19"/>
              </w:rPr>
              <w:t xml:space="preserve">    { fromPence: BASIC_RATE_LIMIT_PENCE, toPence: HIGHER_RATE_LIMIT_PENCE, ratePct: 35.75 },</w:t>
            </w:r>
          </w:p>
          <w:p>
            <w:pPr>
              <w:spacing w:after="40"/>
            </w:pPr>
            <w:r>
              <w:rPr>
                <w:rFonts w:ascii="Consolas" w:cs="Consolas" w:eastAsia="Consolas" w:hAnsi="Consolas"/>
                <w:color w:val="E5E7EB"/>
                <w:sz w:val="19"/>
                <w:szCs w:val="19"/>
              </w:rPr>
              <w:t xml:space="preserve">    { fromPence: HIGHER_RATE_LIMIT_PENCE, toPence: Infinity, ratePct: 39.35 },</w:t>
            </w:r>
          </w:p>
          <w:p>
            <w:pPr>
              <w:spacing w:after="40"/>
            </w:pPr>
            <w:r>
              <w:rPr>
                <w:rFonts w:ascii="Consolas" w:cs="Consolas" w:eastAsia="Consolas" w:hAnsi="Consolas"/>
                <w:color w:val="E5E7EB"/>
                <w:sz w:val="19"/>
                <w:szCs w:val="19"/>
              </w:rPr>
              <w:t xml:space="preserve">  ];</w:t>
            </w:r>
          </w:p>
          <w:p>
            <w:pPr>
              <w:spacing w:after="40"/>
            </w:pPr>
            <w:r>
              <w:rPr>
                <w:rFonts w:ascii="Consolas" w:cs="Consolas" w:eastAsia="Consolas" w:hAnsi="Consolas"/>
                <w:color w:val="E5E7EB"/>
                <w:sz w:val="19"/>
                <w:szCs w:val="19"/>
              </w:rPr>
              <w:t xml:space="preserve">}</w:t>
            </w:r>
          </w:p>
          <w:p>
            <w:pPr>
              <w:spacing w:after="40"/>
            </w:pPr>
            <w:r>
              <w:rPr>
                <w:rFonts w:ascii="Consolas" w:cs="Consolas" w:eastAsia="Consolas" w:hAnsi="Consolas"/>
                <w:color w:val="E5E7EB"/>
                <w:sz w:val="19"/>
                <w:szCs w:val="19"/>
              </w:rPr>
              <w:t xml:space="preserve"/>
            </w:r>
          </w:p>
          <w:p>
            <w:pPr>
              <w:spacing w:after="40"/>
            </w:pPr>
            <w:r>
              <w:rPr>
                <w:rFonts w:ascii="Consolas" w:cs="Consolas" w:eastAsia="Consolas" w:hAnsi="Consolas"/>
                <w:color w:val="E5E7EB"/>
                <w:sz w:val="19"/>
                <w:szCs w:val="19"/>
              </w:rPr>
              <w:t xml:space="preserve">export interface IncomeTaxInput {</w:t>
            </w:r>
          </w:p>
          <w:p>
            <w:pPr>
              <w:spacing w:after="40"/>
            </w:pPr>
            <w:r>
              <w:rPr>
                <w:rFonts w:ascii="Consolas" w:cs="Consolas" w:eastAsia="Consolas" w:hAnsi="Consolas"/>
                <w:color w:val="E5E7EB"/>
                <w:sz w:val="19"/>
                <w:szCs w:val="19"/>
              </w:rPr>
              <w:t xml:space="preserve">  nonSavingsIncomePence: Pence;   // salary, trading profit, etc, before PA</w:t>
            </w:r>
          </w:p>
          <w:p>
            <w:pPr>
              <w:spacing w:after="40"/>
            </w:pPr>
            <w:r>
              <w:rPr>
                <w:rFonts w:ascii="Consolas" w:cs="Consolas" w:eastAsia="Consolas" w:hAnsi="Consolas"/>
                <w:color w:val="E5E7EB"/>
                <w:sz w:val="19"/>
                <w:szCs w:val="19"/>
              </w:rPr>
              <w:t xml:space="preserve">  dividendIncomePence: Pence;     // gross dividends, before the £500 allowance</w:t>
            </w:r>
          </w:p>
          <w:p>
            <w:pPr>
              <w:spacing w:after="40"/>
            </w:pPr>
            <w:r>
              <w:rPr>
                <w:rFonts w:ascii="Consolas" w:cs="Consolas" w:eastAsia="Consolas" w:hAnsi="Consolas"/>
                <w:color w:val="E5E7EB"/>
                <w:sz w:val="19"/>
                <w:szCs w:val="19"/>
              </w:rPr>
              <w:t xml:space="preserve">  adjustedNetIncomePence?: Pence; // defaults to nonSavings + dividend if omitted</w:t>
            </w:r>
          </w:p>
          <w:p>
            <w:pPr>
              <w:spacing w:after="40"/>
            </w:pPr>
            <w:r>
              <w:rPr>
                <w:rFonts w:ascii="Consolas" w:cs="Consolas" w:eastAsia="Consolas" w:hAnsi="Consolas"/>
                <w:color w:val="E5E7EB"/>
                <w:sz w:val="19"/>
                <w:szCs w:val="19"/>
              </w:rPr>
              <w:t xml:space="preserve">}</w:t>
            </w:r>
          </w:p>
          <w:p>
            <w:pPr>
              <w:spacing w:after="40"/>
            </w:pPr>
            <w:r>
              <w:rPr>
                <w:rFonts w:ascii="Consolas" w:cs="Consolas" w:eastAsia="Consolas" w:hAnsi="Consolas"/>
                <w:color w:val="E5E7EB"/>
                <w:sz w:val="19"/>
                <w:szCs w:val="19"/>
              </w:rPr>
              <w:t xml:space="preserve">export interface IncomeTaxResult {</w:t>
            </w:r>
          </w:p>
          <w:p>
            <w:pPr>
              <w:spacing w:after="40"/>
            </w:pPr>
            <w:r>
              <w:rPr>
                <w:rFonts w:ascii="Consolas" w:cs="Consolas" w:eastAsia="Consolas" w:hAnsi="Consolas"/>
                <w:color w:val="E5E7EB"/>
                <w:sz w:val="19"/>
                <w:szCs w:val="19"/>
              </w:rPr>
              <w:t xml:space="preserve">  taperedPersonalAllowancePence: Pence;</w:t>
            </w:r>
          </w:p>
          <w:p>
            <w:pPr>
              <w:spacing w:after="40"/>
            </w:pPr>
            <w:r>
              <w:rPr>
                <w:rFonts w:ascii="Consolas" w:cs="Consolas" w:eastAsia="Consolas" w:hAnsi="Consolas"/>
                <w:color w:val="E5E7EB"/>
                <w:sz w:val="19"/>
                <w:szCs w:val="19"/>
              </w:rPr>
              <w:t xml:space="preserve">  nonSavingsTaxPence: Pence;</w:t>
            </w:r>
          </w:p>
          <w:p>
            <w:pPr>
              <w:spacing w:after="40"/>
            </w:pPr>
            <w:r>
              <w:rPr>
                <w:rFonts w:ascii="Consolas" w:cs="Consolas" w:eastAsia="Consolas" w:hAnsi="Consolas"/>
                <w:color w:val="E5E7EB"/>
                <w:sz w:val="19"/>
                <w:szCs w:val="19"/>
              </w:rPr>
              <w:t xml:space="preserve">  dividendAllowanceUsedPence: Pence;</w:t>
            </w:r>
          </w:p>
          <w:p>
            <w:pPr>
              <w:spacing w:after="40"/>
            </w:pPr>
            <w:r>
              <w:rPr>
                <w:rFonts w:ascii="Consolas" w:cs="Consolas" w:eastAsia="Consolas" w:hAnsi="Consolas"/>
                <w:color w:val="E5E7EB"/>
                <w:sz w:val="19"/>
                <w:szCs w:val="19"/>
              </w:rPr>
              <w:t xml:space="preserve">  dividendTaxPence: Pence;</w:t>
            </w:r>
          </w:p>
          <w:p>
            <w:pPr>
              <w:spacing w:after="40"/>
            </w:pPr>
            <w:r>
              <w:rPr>
                <w:rFonts w:ascii="Consolas" w:cs="Consolas" w:eastAsia="Consolas" w:hAnsi="Consolas"/>
                <w:color w:val="E5E7EB"/>
                <w:sz w:val="19"/>
                <w:szCs w:val="19"/>
              </w:rPr>
              <w:t xml:space="preserve">  totalIncomeTaxPence: Pence;</w:t>
            </w:r>
          </w:p>
          <w:p>
            <w:pPr>
              <w:spacing w:after="40"/>
            </w:pPr>
            <w:r>
              <w:rPr>
                <w:rFonts w:ascii="Consolas" w:cs="Consolas" w:eastAsia="Consolas" w:hAnsi="Consolas"/>
                <w:color w:val="E5E7EB"/>
                <w:sz w:val="19"/>
                <w:szCs w:val="19"/>
              </w:rPr>
              <w:t xml:space="preserve">  warnings: string[];</w:t>
            </w:r>
          </w:p>
          <w:p>
            <w:pPr>
              <w:spacing w:after="40"/>
            </w:pPr>
            <w:r>
              <w:rPr>
                <w:rFonts w:ascii="Consolas" w:cs="Consolas" w:eastAsia="Consolas" w:hAnsi="Consolas"/>
                <w:color w:val="E5E7EB"/>
                <w:sz w:val="19"/>
                <w:szCs w:val="19"/>
              </w:rPr>
              <w:t xml:space="preserve">}</w:t>
            </w:r>
          </w:p>
          <w:p>
            <w:pPr>
              <w:spacing w:after="40"/>
            </w:pPr>
            <w:r>
              <w:rPr>
                <w:rFonts w:ascii="Consolas" w:cs="Consolas" w:eastAsia="Consolas" w:hAnsi="Consolas"/>
                <w:color w:val="E5E7EB"/>
                <w:sz w:val="19"/>
                <w:szCs w:val="19"/>
              </w:rPr>
              <w:t xml:space="preserve"/>
            </w:r>
          </w:p>
          <w:p>
            <w:pPr>
              <w:spacing w:after="40"/>
            </w:pPr>
            <w:r>
              <w:rPr>
                <w:rFonts w:ascii="Consolas" w:cs="Consolas" w:eastAsia="Consolas" w:hAnsi="Consolas"/>
                <w:color w:val="E5E7EB"/>
                <w:sz w:val="19"/>
                <w:szCs w:val="19"/>
              </w:rPr>
              <w:t xml:space="preserve">export function computeIncomeTax(i: IncomeTaxInput): IncomeTaxResult {</w:t>
            </w:r>
          </w:p>
          <w:p>
            <w:pPr>
              <w:spacing w:after="40"/>
            </w:pPr>
            <w:r>
              <w:rPr>
                <w:rFonts w:ascii="Consolas" w:cs="Consolas" w:eastAsia="Consolas" w:hAnsi="Consolas"/>
                <w:color w:val="E5E7EB"/>
                <w:sz w:val="19"/>
                <w:szCs w:val="19"/>
              </w:rPr>
              <w:t xml:space="preserve">  const warnings: string[] = [];</w:t>
            </w:r>
          </w:p>
          <w:p>
            <w:pPr>
              <w:spacing w:after="40"/>
            </w:pPr>
            <w:r>
              <w:rPr>
                <w:rFonts w:ascii="Consolas" w:cs="Consolas" w:eastAsia="Consolas" w:hAnsi="Consolas"/>
                <w:color w:val="E5E7EB"/>
                <w:sz w:val="19"/>
                <w:szCs w:val="19"/>
              </w:rPr>
              <w:t xml:space="preserve">  const adjustedNetIncome = i.adjustedNetIncomePence ?? (i.nonSavingsIncomePence + i.dividendIncomePence);</w:t>
            </w:r>
          </w:p>
          <w:p>
            <w:pPr>
              <w:spacing w:after="40"/>
            </w:pPr>
            <w:r>
              <w:rPr>
                <w:rFonts w:ascii="Consolas" w:cs="Consolas" w:eastAsia="Consolas" w:hAnsi="Consolas"/>
                <w:color w:val="E5E7EB"/>
                <w:sz w:val="19"/>
                <w:szCs w:val="19"/>
              </w:rPr>
              <w:t xml:space="preserve">  const taperedPA = taperedPersonalAllowance(adjustedNetIncome);</w:t>
            </w:r>
          </w:p>
          <w:p>
            <w:pPr>
              <w:spacing w:after="40"/>
            </w:pPr>
            <w:r>
              <w:rPr>
                <w:rFonts w:ascii="Consolas" w:cs="Consolas" w:eastAsia="Consolas" w:hAnsi="Consolas"/>
                <w:color w:val="E5E7EB"/>
                <w:sz w:val="19"/>
                <w:szCs w:val="19"/>
              </w:rPr>
              <w:t xml:space="preserve"/>
            </w:r>
          </w:p>
          <w:p>
            <w:pPr>
              <w:spacing w:after="40"/>
            </w:pPr>
            <w:r>
              <w:rPr>
                <w:rFonts w:ascii="Consolas" w:cs="Consolas" w:eastAsia="Consolas" w:hAnsi="Consolas"/>
                <w:color w:val="E5E7EB"/>
                <w:sz w:val="19"/>
                <w:szCs w:val="19"/>
              </w:rPr>
              <w:t xml:space="preserve">  // Non-savings income fills the bands from zero.</w:t>
            </w:r>
          </w:p>
          <w:p>
            <w:pPr>
              <w:spacing w:after="40"/>
            </w:pPr>
            <w:r>
              <w:rPr>
                <w:rFonts w:ascii="Consolas" w:cs="Consolas" w:eastAsia="Consolas" w:hAnsi="Consolas"/>
                <w:color w:val="E5E7EB"/>
                <w:sz w:val="19"/>
                <w:szCs w:val="19"/>
              </w:rPr>
              <w:t xml:space="preserve">  const nsBands = nonSavingsBands(taperedPA);</w:t>
            </w:r>
          </w:p>
          <w:p>
            <w:pPr>
              <w:spacing w:after="40"/>
            </w:pPr>
            <w:r>
              <w:rPr>
                <w:rFonts w:ascii="Consolas" w:cs="Consolas" w:eastAsia="Consolas" w:hAnsi="Consolas"/>
                <w:color w:val="E5E7EB"/>
                <w:sz w:val="19"/>
                <w:szCs w:val="19"/>
              </w:rPr>
              <w:t xml:space="preserve">  const nonSavingsTax = taxSliceAcrossBands(0, i.nonSavingsIncomePence, nsBands);</w:t>
            </w:r>
          </w:p>
          <w:p>
            <w:pPr>
              <w:spacing w:after="40"/>
            </w:pPr>
            <w:r>
              <w:rPr>
                <w:rFonts w:ascii="Consolas" w:cs="Consolas" w:eastAsia="Consolas" w:hAnsi="Consolas"/>
                <w:color w:val="E5E7EB"/>
                <w:sz w:val="19"/>
                <w:szCs w:val="19"/>
              </w:rPr>
              <w:t xml:space="preserve"/>
            </w:r>
          </w:p>
          <w:p>
            <w:pPr>
              <w:spacing w:after="40"/>
            </w:pPr>
            <w:r>
              <w:rPr>
                <w:rFonts w:ascii="Consolas" w:cs="Consolas" w:eastAsia="Consolas" w:hAnsi="Consolas"/>
                <w:color w:val="E5E7EB"/>
                <w:sz w:val="19"/>
                <w:szCs w:val="19"/>
              </w:rPr>
              <w:t xml:space="preserve">  // Dividends stack ON TOP of non-savings income (Rule 3.4.5a): they occupy the slice</w:t>
            </w:r>
          </w:p>
          <w:p>
            <w:pPr>
              <w:spacing w:after="40"/>
            </w:pPr>
            <w:r>
              <w:rPr>
                <w:rFonts w:ascii="Consolas" w:cs="Consolas" w:eastAsia="Consolas" w:hAnsi="Consolas"/>
                <w:color w:val="E5E7EB"/>
                <w:sz w:val="19"/>
                <w:szCs w:val="19"/>
              </w:rPr>
              <w:t xml:space="preserve">  // [nonSavingsIncome, nonSavingsIncome + dividendIncome) in the dividend-rate band set.</w:t>
            </w:r>
          </w:p>
          <w:p>
            <w:pPr>
              <w:spacing w:after="40"/>
            </w:pPr>
            <w:r>
              <w:rPr>
                <w:rFonts w:ascii="Consolas" w:cs="Consolas" w:eastAsia="Consolas" w:hAnsi="Consolas"/>
                <w:color w:val="E5E7EB"/>
                <w:sz w:val="19"/>
                <w:szCs w:val="19"/>
              </w:rPr>
              <w:t xml:space="preserve">  // The £500 dividend allowance is a 0%-taxed slice at the BOTTOM of that stacked range,</w:t>
            </w:r>
          </w:p>
          <w:p>
            <w:pPr>
              <w:spacing w:after="40"/>
            </w:pPr>
            <w:r>
              <w:rPr>
                <w:rFonts w:ascii="Consolas" w:cs="Consolas" w:eastAsia="Consolas" w:hAnsi="Consolas"/>
                <w:color w:val="E5E7EB"/>
                <w:sz w:val="19"/>
                <w:szCs w:val="19"/>
              </w:rPr>
              <w:t xml:space="preserve">  // not a separate deduction, so it correctly sits wherever the stack places it.</w:t>
            </w:r>
          </w:p>
          <w:p>
            <w:pPr>
              <w:spacing w:after="40"/>
            </w:pPr>
            <w:r>
              <w:rPr>
                <w:rFonts w:ascii="Consolas" w:cs="Consolas" w:eastAsia="Consolas" w:hAnsi="Consolas"/>
                <w:color w:val="E5E7EB"/>
                <w:sz w:val="19"/>
                <w:szCs w:val="19"/>
              </w:rPr>
              <w:t xml:space="preserve">  const divBands = dividendBands(taperedPA);</w:t>
            </w:r>
          </w:p>
          <w:p>
            <w:pPr>
              <w:spacing w:after="40"/>
            </w:pPr>
            <w:r>
              <w:rPr>
                <w:rFonts w:ascii="Consolas" w:cs="Consolas" w:eastAsia="Consolas" w:hAnsi="Consolas"/>
                <w:color w:val="E5E7EB"/>
                <w:sz w:val="19"/>
                <w:szCs w:val="19"/>
              </w:rPr>
              <w:t xml:space="preserve">  const dividendAllowanceUsed = Math.min(DIVIDEND_ALLOWANCE_PENCE, i.dividendIncomePence);</w:t>
            </w:r>
          </w:p>
          <w:p>
            <w:pPr>
              <w:spacing w:after="40"/>
            </w:pPr>
            <w:r>
              <w:rPr>
                <w:rFonts w:ascii="Consolas" w:cs="Consolas" w:eastAsia="Consolas" w:hAnsi="Consolas"/>
                <w:color w:val="E5E7EB"/>
                <w:sz w:val="19"/>
                <w:szCs w:val="19"/>
              </w:rPr>
              <w:t xml:space="preserve">  const stackStart = i.nonSavingsIncomePence;</w:t>
            </w:r>
          </w:p>
          <w:p>
            <w:pPr>
              <w:spacing w:after="40"/>
            </w:pPr>
            <w:r>
              <w:rPr>
                <w:rFonts w:ascii="Consolas" w:cs="Consolas" w:eastAsia="Consolas" w:hAnsi="Consolas"/>
                <w:color w:val="E5E7EB"/>
                <w:sz w:val="19"/>
                <w:szCs w:val="19"/>
              </w:rPr>
              <w:t xml:space="preserve">  const stackEnd = i.nonSavingsIncomePence + i.dividendIncomePence;</w:t>
            </w:r>
          </w:p>
          <w:p>
            <w:pPr>
              <w:spacing w:after="40"/>
            </w:pPr>
            <w:r>
              <w:rPr>
                <w:rFonts w:ascii="Consolas" w:cs="Consolas" w:eastAsia="Consolas" w:hAnsi="Consolas"/>
                <w:color w:val="E5E7EB"/>
                <w:sz w:val="19"/>
                <w:szCs w:val="19"/>
              </w:rPr>
              <w:t xml:space="preserve">  const allowanceFreeEnd = stackStart + dividendAllowanceUsed;</w:t>
            </w:r>
          </w:p>
          <w:p>
            <w:pPr>
              <w:spacing w:after="40"/>
            </w:pPr>
            <w:r>
              <w:rPr>
                <w:rFonts w:ascii="Consolas" w:cs="Consolas" w:eastAsia="Consolas" w:hAnsi="Consolas"/>
                <w:color w:val="E5E7EB"/>
                <w:sz w:val="19"/>
                <w:szCs w:val="19"/>
              </w:rPr>
              <w:t xml:space="preserve"/>
            </w:r>
          </w:p>
          <w:p>
            <w:pPr>
              <w:spacing w:after="40"/>
            </w:pPr>
            <w:r>
              <w:rPr>
                <w:rFonts w:ascii="Consolas" w:cs="Consolas" w:eastAsia="Consolas" w:hAnsi="Consolas"/>
                <w:color w:val="E5E7EB"/>
                <w:sz w:val="19"/>
                <w:szCs w:val="19"/>
              </w:rPr>
              <w:t xml:space="preserve">  // Tax the whole stacked range at dividend rates, then subtract back the tax that the</w:t>
            </w:r>
          </w:p>
          <w:p>
            <w:pPr>
              <w:spacing w:after="40"/>
            </w:pPr>
            <w:r>
              <w:rPr>
                <w:rFonts w:ascii="Consolas" w:cs="Consolas" w:eastAsia="Consolas" w:hAnsi="Consolas"/>
                <w:color w:val="E5E7EB"/>
                <w:sz w:val="19"/>
                <w:szCs w:val="19"/>
              </w:rPr>
              <w:t xml:space="preserve">  // allowance slice would otherwise have borne, so the allowance lands at the bottom of</w:t>
            </w:r>
          </w:p>
          <w:p>
            <w:pPr>
              <w:spacing w:after="40"/>
            </w:pPr>
            <w:r>
              <w:rPr>
                <w:rFonts w:ascii="Consolas" w:cs="Consolas" w:eastAsia="Consolas" w:hAnsi="Consolas"/>
                <w:color w:val="E5E7EB"/>
                <w:sz w:val="19"/>
                <w:szCs w:val="19"/>
              </w:rPr>
              <w:t xml:space="preserve">  // the stack (lowest marginal rate(s) the dividend income actually touches).</w:t>
            </w:r>
          </w:p>
          <w:p>
            <w:pPr>
              <w:spacing w:after="40"/>
            </w:pPr>
            <w:r>
              <w:rPr>
                <w:rFonts w:ascii="Consolas" w:cs="Consolas" w:eastAsia="Consolas" w:hAnsi="Consolas"/>
                <w:color w:val="E5E7EB"/>
                <w:sz w:val="19"/>
                <w:szCs w:val="19"/>
              </w:rPr>
              <w:t xml:space="preserve">  const taxOnWholeStack = taxSliceAcrossBands(stackStart, stackEnd, divBands);</w:t>
            </w:r>
          </w:p>
          <w:p>
            <w:pPr>
              <w:spacing w:after="40"/>
            </w:pPr>
            <w:r>
              <w:rPr>
                <w:rFonts w:ascii="Consolas" w:cs="Consolas" w:eastAsia="Consolas" w:hAnsi="Consolas"/>
                <w:color w:val="E5E7EB"/>
                <w:sz w:val="19"/>
                <w:szCs w:val="19"/>
              </w:rPr>
              <w:t xml:space="preserve">  const taxOnAllowanceSlice = taxSliceAcrossBands(stackStart, allowanceFreeEnd, divBands);</w:t>
            </w:r>
          </w:p>
          <w:p>
            <w:pPr>
              <w:spacing w:after="40"/>
            </w:pPr>
            <w:r>
              <w:rPr>
                <w:rFonts w:ascii="Consolas" w:cs="Consolas" w:eastAsia="Consolas" w:hAnsi="Consolas"/>
                <w:color w:val="E5E7EB"/>
                <w:sz w:val="19"/>
                <w:szCs w:val="19"/>
              </w:rPr>
              <w:t xml:space="preserve">  const dividendTax = taxOnWholeStack - taxOnAllowanceSlice;</w:t>
            </w:r>
          </w:p>
          <w:p>
            <w:pPr>
              <w:spacing w:after="40"/>
            </w:pPr>
            <w:r>
              <w:rPr>
                <w:rFonts w:ascii="Consolas" w:cs="Consolas" w:eastAsia="Consolas" w:hAnsi="Consolas"/>
                <w:color w:val="E5E7EB"/>
                <w:sz w:val="19"/>
                <w:szCs w:val="19"/>
              </w:rPr>
              <w:t xml:space="preserve"/>
            </w:r>
          </w:p>
          <w:p>
            <w:pPr>
              <w:spacing w:after="40"/>
            </w:pPr>
            <w:r>
              <w:rPr>
                <w:rFonts w:ascii="Consolas" w:cs="Consolas" w:eastAsia="Consolas" w:hAnsi="Consolas"/>
                <w:color w:val="E5E7EB"/>
                <w:sz w:val="19"/>
                <w:szCs w:val="19"/>
              </w:rPr>
              <w:t xml:space="preserve">  if (adjustedNetIncome &gt; PA_TAPER_THRESHOLD_PENCE &amp;&amp; adjustedNetIncome &lt; PA_TAPER_FULLY_GONE_PENCE) {</w:t>
            </w:r>
          </w:p>
          <w:p>
            <w:pPr>
              <w:spacing w:after="40"/>
            </w:pPr>
            <w:r>
              <w:rPr>
                <w:rFonts w:ascii="Consolas" w:cs="Consolas" w:eastAsia="Consolas" w:hAnsi="Consolas"/>
                <w:color w:val="E5E7EB"/>
                <w:sz w:val="19"/>
                <w:szCs w:val="19"/>
              </w:rPr>
              <w:t xml:space="preserve">    warnings.push('Adjusted net income is in the Personal Allowance taper zone: pension/Gift Aid adjustments to adjustedNetIncomePence change the result materially');</w:t>
            </w:r>
          </w:p>
          <w:p>
            <w:pPr>
              <w:spacing w:after="40"/>
            </w:pPr>
            <w:r>
              <w:rPr>
                <w:rFonts w:ascii="Consolas" w:cs="Consolas" w:eastAsia="Consolas" w:hAnsi="Consolas"/>
                <w:color w:val="E5E7EB"/>
                <w:sz w:val="19"/>
                <w:szCs w:val="19"/>
              </w:rPr>
              <w:t xml:space="preserve">  }</w:t>
            </w:r>
          </w:p>
          <w:p>
            <w:pPr>
              <w:spacing w:after="40"/>
            </w:pPr>
            <w:r>
              <w:rPr>
                <w:rFonts w:ascii="Consolas" w:cs="Consolas" w:eastAsia="Consolas" w:hAnsi="Consolas"/>
                <w:color w:val="E5E7EB"/>
                <w:sz w:val="19"/>
                <w:szCs w:val="19"/>
              </w:rPr>
              <w:t xml:space="preserve">  return {</w:t>
            </w:r>
          </w:p>
          <w:p>
            <w:pPr>
              <w:spacing w:after="40"/>
            </w:pPr>
            <w:r>
              <w:rPr>
                <w:rFonts w:ascii="Consolas" w:cs="Consolas" w:eastAsia="Consolas" w:hAnsi="Consolas"/>
                <w:color w:val="E5E7EB"/>
                <w:sz w:val="19"/>
                <w:szCs w:val="19"/>
              </w:rPr>
              <w:t xml:space="preserve">    taperedPersonalAllowancePence: taperedPA,</w:t>
            </w:r>
          </w:p>
          <w:p>
            <w:pPr>
              <w:spacing w:after="40"/>
            </w:pPr>
            <w:r>
              <w:rPr>
                <w:rFonts w:ascii="Consolas" w:cs="Consolas" w:eastAsia="Consolas" w:hAnsi="Consolas"/>
                <w:color w:val="E5E7EB"/>
                <w:sz w:val="19"/>
                <w:szCs w:val="19"/>
              </w:rPr>
              <w:t xml:space="preserve">    nonSavingsTaxPence: nonSavingsTax,</w:t>
            </w:r>
          </w:p>
          <w:p>
            <w:pPr>
              <w:spacing w:after="40"/>
            </w:pPr>
            <w:r>
              <w:rPr>
                <w:rFonts w:ascii="Consolas" w:cs="Consolas" w:eastAsia="Consolas" w:hAnsi="Consolas"/>
                <w:color w:val="E5E7EB"/>
                <w:sz w:val="19"/>
                <w:szCs w:val="19"/>
              </w:rPr>
              <w:t xml:space="preserve">    dividendAllowanceUsedPence: dividendAllowanceUsed,</w:t>
            </w:r>
          </w:p>
          <w:p>
            <w:pPr>
              <w:spacing w:after="40"/>
            </w:pPr>
            <w:r>
              <w:rPr>
                <w:rFonts w:ascii="Consolas" w:cs="Consolas" w:eastAsia="Consolas" w:hAnsi="Consolas"/>
                <w:color w:val="E5E7EB"/>
                <w:sz w:val="19"/>
                <w:szCs w:val="19"/>
              </w:rPr>
              <w:t xml:space="preserve">    dividendTaxPence: dividendTax,</w:t>
            </w:r>
          </w:p>
          <w:p>
            <w:pPr>
              <w:spacing w:after="40"/>
            </w:pPr>
            <w:r>
              <w:rPr>
                <w:rFonts w:ascii="Consolas" w:cs="Consolas" w:eastAsia="Consolas" w:hAnsi="Consolas"/>
                <w:color w:val="E5E7EB"/>
                <w:sz w:val="19"/>
                <w:szCs w:val="19"/>
              </w:rPr>
              <w:t xml:space="preserve">    totalIncomeTaxPence: nonSavingsTax + dividendTax,</w:t>
            </w:r>
          </w:p>
          <w:p>
            <w:pPr>
              <w:spacing w:after="40"/>
            </w:pPr>
            <w:r>
              <w:rPr>
                <w:rFonts w:ascii="Consolas" w:cs="Consolas" w:eastAsia="Consolas" w:hAnsi="Consolas"/>
                <w:color w:val="E5E7EB"/>
                <w:sz w:val="19"/>
                <w:szCs w:val="19"/>
              </w:rPr>
              <w:t xml:space="preserve">    warnings,</w:t>
            </w:r>
          </w:p>
          <w:p>
            <w:pPr>
              <w:spacing w:after="40"/>
            </w:pPr>
            <w:r>
              <w:rPr>
                <w:rFonts w:ascii="Consolas" w:cs="Consolas" w:eastAsia="Consolas" w:hAnsi="Consolas"/>
                <w:color w:val="E5E7EB"/>
                <w:sz w:val="19"/>
                <w:szCs w:val="19"/>
              </w:rPr>
              <w:t xml:space="preserve">  };</w:t>
            </w:r>
          </w:p>
          <w:p>
            <w:pPr>
              <w:spacing w:after="40"/>
            </w:pPr>
            <w:r>
              <w:rPr>
                <w:rFonts w:ascii="Consolas" w:cs="Consolas" w:eastAsia="Consolas" w:hAnsi="Consolas"/>
                <w:color w:val="E5E7EB"/>
                <w:sz w:val="19"/>
                <w:szCs w:val="19"/>
              </w:rPr>
              <w:t xml:space="preserve">}</w:t>
            </w:r>
          </w:p>
          <w:p>
            <w:pPr>
              <w:spacing w:after="40"/>
            </w:pPr>
            <w:r>
              <w:rPr>
                <w:rFonts w:ascii="Consolas" w:cs="Consolas" w:eastAsia="Consolas" w:hAnsi="Consolas"/>
                <w:color w:val="E5E7EB"/>
                <w:sz w:val="19"/>
                <w:szCs w:val="19"/>
              </w:rPr>
              <w:t xml:space="preserve"/>
            </w:r>
          </w:p>
          <w:p>
            <w:pPr>
              <w:spacing w:after="40"/>
            </w:pPr>
            <w:r>
              <w:rPr>
                <w:rFonts w:ascii="Consolas" w:cs="Consolas" w:eastAsia="Consolas" w:hAnsi="Consolas"/>
                <w:color w:val="E5E7EB"/>
                <w:sz w:val="19"/>
                <w:szCs w:val="19"/>
              </w:rPr>
              <w:t xml:space="preserve">// ---------- trading allowance (Rule 3.4.6) ----------</w:t>
            </w:r>
          </w:p>
          <w:p>
            <w:pPr>
              <w:spacing w:after="40"/>
            </w:pPr>
            <w:r>
              <w:rPr>
                <w:rFonts w:ascii="Consolas" w:cs="Consolas" w:eastAsia="Consolas" w:hAnsi="Consolas"/>
                <w:color w:val="E5E7EB"/>
                <w:sz w:val="19"/>
                <w:szCs w:val="19"/>
              </w:rPr>
              <w:t xml:space="preserve">export const TRADING_ALLOWANCE_PENCE = 1_000_00;</w:t>
            </w:r>
          </w:p>
          <w:p>
            <w:pPr>
              <w:spacing w:after="40"/>
            </w:pPr>
            <w:r>
              <w:rPr>
                <w:rFonts w:ascii="Consolas" w:cs="Consolas" w:eastAsia="Consolas" w:hAnsi="Consolas"/>
                <w:color w:val="E5E7EB"/>
                <w:sz w:val="19"/>
                <w:szCs w:val="19"/>
              </w:rPr>
              <w:t xml:space="preserve"/>
            </w:r>
          </w:p>
          <w:p>
            <w:pPr>
              <w:spacing w:after="40"/>
            </w:pPr>
            <w:r>
              <w:rPr>
                <w:rFonts w:ascii="Consolas" w:cs="Consolas" w:eastAsia="Consolas" w:hAnsi="Consolas"/>
                <w:color w:val="E5E7EB"/>
                <w:sz w:val="19"/>
                <w:szCs w:val="19"/>
              </w:rPr>
              <w:t xml:space="preserve">export interface TradingProfitResult {</w:t>
            </w:r>
          </w:p>
          <w:p>
            <w:pPr>
              <w:spacing w:after="40"/>
            </w:pPr>
            <w:r>
              <w:rPr>
                <w:rFonts w:ascii="Consolas" w:cs="Consolas" w:eastAsia="Consolas" w:hAnsi="Consolas"/>
                <w:color w:val="E5E7EB"/>
                <w:sz w:val="19"/>
                <w:szCs w:val="19"/>
              </w:rPr>
              <w:t xml:space="preserve">  taxableProfitPence: Pence;</w:t>
            </w:r>
          </w:p>
          <w:p>
            <w:pPr>
              <w:spacing w:after="40"/>
            </w:pPr>
            <w:r>
              <w:rPr>
                <w:rFonts w:ascii="Consolas" w:cs="Consolas" w:eastAsia="Consolas" w:hAnsi="Consolas"/>
                <w:color w:val="E5E7EB"/>
                <w:sz w:val="19"/>
                <w:szCs w:val="19"/>
              </w:rPr>
              <w:t xml:space="preserve">  methodUsed: 'actual-expenses' | 'trading-allowance' | 'full-exemption';</w:t>
            </w:r>
          </w:p>
          <w:p>
            <w:pPr>
              <w:spacing w:after="40"/>
            </w:pPr>
            <w:r>
              <w:rPr>
                <w:rFonts w:ascii="Consolas" w:cs="Consolas" w:eastAsia="Consolas" w:hAnsi="Consolas"/>
                <w:color w:val="E5E7EB"/>
                <w:sz w:val="19"/>
                <w:szCs w:val="19"/>
              </w:rPr>
              <w:t xml:space="preserve">  warnings: string[];</w:t>
            </w:r>
          </w:p>
          <w:p>
            <w:pPr>
              <w:spacing w:after="40"/>
            </w:pPr>
            <w:r>
              <w:rPr>
                <w:rFonts w:ascii="Consolas" w:cs="Consolas" w:eastAsia="Consolas" w:hAnsi="Consolas"/>
                <w:color w:val="E5E7EB"/>
                <w:sz w:val="19"/>
                <w:szCs w:val="19"/>
              </w:rPr>
              <w:t xml:space="preserve">}</w:t>
            </w:r>
          </w:p>
          <w:p>
            <w:pPr>
              <w:spacing w:after="40"/>
            </w:pPr>
            <w:r>
              <w:rPr>
                <w:rFonts w:ascii="Consolas" w:cs="Consolas" w:eastAsia="Consolas" w:hAnsi="Consolas"/>
                <w:color w:val="E5E7EB"/>
                <w:sz w:val="19"/>
                <w:szCs w:val="19"/>
              </w:rPr>
              <w:t xml:space="preserve"/>
            </w:r>
          </w:p>
          <w:p>
            <w:pPr>
              <w:spacing w:after="40"/>
            </w:pPr>
            <w:r>
              <w:rPr>
                <w:rFonts w:ascii="Consolas" w:cs="Consolas" w:eastAsia="Consolas" w:hAnsi="Consolas"/>
                <w:color w:val="E5E7EB"/>
                <w:sz w:val="19"/>
                <w:szCs w:val="19"/>
              </w:rPr>
              <w:t xml:space="preserve">/** Full exemption if gross receipts &lt;= £1,000; otherwise the lower of actual expenses or the £1,000 allowance. */</w:t>
            </w:r>
          </w:p>
          <w:p>
            <w:pPr>
              <w:spacing w:after="40"/>
            </w:pPr>
            <w:r>
              <w:rPr>
                <w:rFonts w:ascii="Consolas" w:cs="Consolas" w:eastAsia="Consolas" w:hAnsi="Consolas"/>
                <w:color w:val="E5E7EB"/>
                <w:sz w:val="19"/>
                <w:szCs w:val="19"/>
              </w:rPr>
              <w:t xml:space="preserve">export function tradingProfitWithAllowanceChoice(</w:t>
            </w:r>
          </w:p>
          <w:p>
            <w:pPr>
              <w:spacing w:after="40"/>
            </w:pPr>
            <w:r>
              <w:rPr>
                <w:rFonts w:ascii="Consolas" w:cs="Consolas" w:eastAsia="Consolas" w:hAnsi="Consolas"/>
                <w:color w:val="E5E7EB"/>
                <w:sz w:val="19"/>
                <w:szCs w:val="19"/>
              </w:rPr>
              <w:t xml:space="preserve">  grossIncomePence: Pence, actualExpensesPence: Pence,</w:t>
            </w:r>
          </w:p>
          <w:p>
            <w:pPr>
              <w:spacing w:after="40"/>
            </w:pPr>
            <w:r>
              <w:rPr>
                <w:rFonts w:ascii="Consolas" w:cs="Consolas" w:eastAsia="Consolas" w:hAnsi="Consolas"/>
                <w:color w:val="E5E7EB"/>
                <w:sz w:val="19"/>
                <w:szCs w:val="19"/>
              </w:rPr>
              <w:t xml:space="preserve">): TradingProfitResult {</w:t>
            </w:r>
          </w:p>
          <w:p>
            <w:pPr>
              <w:spacing w:after="40"/>
            </w:pPr>
            <w:r>
              <w:rPr>
                <w:rFonts w:ascii="Consolas" w:cs="Consolas" w:eastAsia="Consolas" w:hAnsi="Consolas"/>
                <w:color w:val="E5E7EB"/>
                <w:sz w:val="19"/>
                <w:szCs w:val="19"/>
              </w:rPr>
              <w:t xml:space="preserve">  const warnings: string[] = [];</w:t>
            </w:r>
          </w:p>
          <w:p>
            <w:pPr>
              <w:spacing w:after="40"/>
            </w:pPr>
            <w:r>
              <w:rPr>
                <w:rFonts w:ascii="Consolas" w:cs="Consolas" w:eastAsia="Consolas" w:hAnsi="Consolas"/>
                <w:color w:val="E5E7EB"/>
                <w:sz w:val="19"/>
                <w:szCs w:val="19"/>
              </w:rPr>
              <w:t xml:space="preserve">  if (grossIncomePence &lt;= TRADING_ALLOWANCE_PENCE) {</w:t>
            </w:r>
          </w:p>
          <w:p>
            <w:pPr>
              <w:spacing w:after="40"/>
            </w:pPr>
            <w:r>
              <w:rPr>
                <w:rFonts w:ascii="Consolas" w:cs="Consolas" w:eastAsia="Consolas" w:hAnsi="Consolas"/>
                <w:color w:val="E5E7EB"/>
                <w:sz w:val="19"/>
                <w:szCs w:val="19"/>
              </w:rPr>
              <w:t xml:space="preserve">    return { taxableProfitPence: 0, methodUsed: 'full-exemption', warnings };</w:t>
            </w:r>
          </w:p>
          <w:p>
            <w:pPr>
              <w:spacing w:after="40"/>
            </w:pPr>
            <w:r>
              <w:rPr>
                <w:rFonts w:ascii="Consolas" w:cs="Consolas" w:eastAsia="Consolas" w:hAnsi="Consolas"/>
                <w:color w:val="E5E7EB"/>
                <w:sz w:val="19"/>
                <w:szCs w:val="19"/>
              </w:rPr>
              <w:t xml:space="preserve">  }</w:t>
            </w:r>
          </w:p>
          <w:p>
            <w:pPr>
              <w:spacing w:after="40"/>
            </w:pPr>
            <w:r>
              <w:rPr>
                <w:rFonts w:ascii="Consolas" w:cs="Consolas" w:eastAsia="Consolas" w:hAnsi="Consolas"/>
                <w:color w:val="E5E7EB"/>
                <w:sz w:val="19"/>
                <w:szCs w:val="19"/>
              </w:rPr>
              <w:t xml:space="preserve">  const viaActual = grossIncomePence - actualExpensesPence;</w:t>
            </w:r>
          </w:p>
          <w:p>
            <w:pPr>
              <w:spacing w:after="40"/>
            </w:pPr>
            <w:r>
              <w:rPr>
                <w:rFonts w:ascii="Consolas" w:cs="Consolas" w:eastAsia="Consolas" w:hAnsi="Consolas"/>
                <w:color w:val="E5E7EB"/>
                <w:sz w:val="19"/>
                <w:szCs w:val="19"/>
              </w:rPr>
              <w:t xml:space="preserve">  const viaAllowance = grossIncomePence - TRADING_ALLOWANCE_PENCE;</w:t>
            </w:r>
          </w:p>
          <w:p>
            <w:pPr>
              <w:spacing w:after="40"/>
            </w:pPr>
            <w:r>
              <w:rPr>
                <w:rFonts w:ascii="Consolas" w:cs="Consolas" w:eastAsia="Consolas" w:hAnsi="Consolas"/>
                <w:color w:val="E5E7EB"/>
                <w:sz w:val="19"/>
                <w:szCs w:val="19"/>
              </w:rPr>
              <w:t xml:space="preserve">  if (viaAllowance &lt; viaActual) {</w:t>
            </w:r>
          </w:p>
          <w:p>
            <w:pPr>
              <w:spacing w:after="40"/>
            </w:pPr>
            <w:r>
              <w:rPr>
                <w:rFonts w:ascii="Consolas" w:cs="Consolas" w:eastAsia="Consolas" w:hAnsi="Consolas"/>
                <w:color w:val="E5E7EB"/>
                <w:sz w:val="19"/>
                <w:szCs w:val="19"/>
              </w:rPr>
              <w:t xml:space="preserve">    return { taxableProfitPence: Math.max(0, viaAllowance), methodUsed: 'trading-allowance', warnings };</w:t>
            </w:r>
          </w:p>
          <w:p>
            <w:pPr>
              <w:spacing w:after="40"/>
            </w:pPr>
            <w:r>
              <w:rPr>
                <w:rFonts w:ascii="Consolas" w:cs="Consolas" w:eastAsia="Consolas" w:hAnsi="Consolas"/>
                <w:color w:val="E5E7EB"/>
                <w:sz w:val="19"/>
                <w:szCs w:val="19"/>
              </w:rPr>
              <w:t xml:space="preserve">  }</w:t>
            </w:r>
          </w:p>
          <w:p>
            <w:pPr>
              <w:spacing w:after="40"/>
            </w:pPr>
            <w:r>
              <w:rPr>
                <w:rFonts w:ascii="Consolas" w:cs="Consolas" w:eastAsia="Consolas" w:hAnsi="Consolas"/>
                <w:color w:val="E5E7EB"/>
                <w:sz w:val="19"/>
                <w:szCs w:val="19"/>
              </w:rPr>
              <w:t xml:space="preserve">  return { taxableProfitPence: Math.max(0, viaActual), methodUsed: 'actual-expenses', warnings };</w:t>
            </w:r>
          </w:p>
          <w:p>
            <w:pPr>
              <w:spacing w:after="40"/>
            </w:pPr>
            <w:r>
              <w:rPr>
                <w:rFonts w:ascii="Consolas" w:cs="Consolas" w:eastAsia="Consolas" w:hAnsi="Consolas"/>
                <w:color w:val="E5E7EB"/>
                <w:sz w:val="19"/>
                <w:szCs w:val="19"/>
              </w:rPr>
              <w:t xml:space="preserve">}</w:t>
            </w:r>
          </w:p>
          <w:p>
            <w:pPr>
              <w:spacing w:after="40"/>
            </w:pPr>
            <w:r>
              <w:rPr>
                <w:rFonts w:ascii="Consolas" w:cs="Consolas" w:eastAsia="Consolas" w:hAnsi="Consolas"/>
                <w:color w:val="E5E7EB"/>
                <w:sz w:val="19"/>
                <w:szCs w:val="19"/>
              </w:rPr>
              <w:t xml:space="preserve"/>
            </w:r>
          </w:p>
          <w:p>
            <w:pPr>
              <w:spacing w:after="40"/>
            </w:pPr>
            <w:r>
              <w:rPr>
                <w:rFonts w:ascii="Consolas" w:cs="Consolas" w:eastAsia="Consolas" w:hAnsi="Consolas"/>
                <w:color w:val="E5E7EB"/>
                <w:sz w:val="19"/>
                <w:szCs w:val="19"/>
              </w:rPr>
              <w:t xml:space="preserve">// ---------- Class 1 NIC (employed, Rule 3.4.7) ----------</w:t>
            </w:r>
          </w:p>
          <w:p>
            <w:pPr>
              <w:spacing w:after="40"/>
            </w:pPr>
            <w:r>
              <w:rPr>
                <w:rFonts w:ascii="Consolas" w:cs="Consolas" w:eastAsia="Consolas" w:hAnsi="Consolas"/>
                <w:color w:val="E5E7EB"/>
                <w:sz w:val="19"/>
                <w:szCs w:val="19"/>
              </w:rPr>
              <w:t xml:space="preserve">export interface Class1Rates {</w:t>
            </w:r>
          </w:p>
          <w:p>
            <w:pPr>
              <w:spacing w:after="40"/>
            </w:pPr>
            <w:r>
              <w:rPr>
                <w:rFonts w:ascii="Consolas" w:cs="Consolas" w:eastAsia="Consolas" w:hAnsi="Consolas"/>
                <w:color w:val="E5E7EB"/>
                <w:sz w:val="19"/>
                <w:szCs w:val="19"/>
              </w:rPr>
              <w:t xml:space="preserve">  primaryThresholdPence: Pence; secondaryThresholdPence: Pence; upperEarningsLimitPence: Pence;</w:t>
            </w:r>
          </w:p>
          <w:p>
            <w:pPr>
              <w:spacing w:after="40"/>
            </w:pPr>
            <w:r>
              <w:rPr>
                <w:rFonts w:ascii="Consolas" w:cs="Consolas" w:eastAsia="Consolas" w:hAnsi="Consolas"/>
                <w:color w:val="E5E7EB"/>
                <w:sz w:val="19"/>
                <w:szCs w:val="19"/>
              </w:rPr>
              <w:t xml:space="preserve">  employeeMainRatePct: number; employeeAboveUelRatePct: number; employerRatePct: number;</w:t>
            </w:r>
          </w:p>
          <w:p>
            <w:pPr>
              <w:spacing w:after="40"/>
            </w:pPr>
            <w:r>
              <w:rPr>
                <w:rFonts w:ascii="Consolas" w:cs="Consolas" w:eastAsia="Consolas" w:hAnsi="Consolas"/>
                <w:color w:val="E5E7EB"/>
                <w:sz w:val="19"/>
                <w:szCs w:val="19"/>
              </w:rPr>
              <w:t xml:space="preserve">  employmentAllowancePence: Pence;</w:t>
            </w:r>
          </w:p>
          <w:p>
            <w:pPr>
              <w:spacing w:after="40"/>
            </w:pPr>
            <w:r>
              <w:rPr>
                <w:rFonts w:ascii="Consolas" w:cs="Consolas" w:eastAsia="Consolas" w:hAnsi="Consolas"/>
                <w:color w:val="E5E7EB"/>
                <w:sz w:val="19"/>
                <w:szCs w:val="19"/>
              </w:rPr>
              <w:t xml:space="preserve">}</w:t>
            </w:r>
          </w:p>
          <w:p>
            <w:pPr>
              <w:spacing w:after="40"/>
            </w:pPr>
            <w:r>
              <w:rPr>
                <w:rFonts w:ascii="Consolas" w:cs="Consolas" w:eastAsia="Consolas" w:hAnsi="Consolas"/>
                <w:color w:val="E5E7EB"/>
                <w:sz w:val="19"/>
                <w:szCs w:val="19"/>
              </w:rPr>
              <w:t xml:space="preserve">export const CLASS1_RATES_2026_27: Class1Rates = {</w:t>
            </w:r>
          </w:p>
          <w:p>
            <w:pPr>
              <w:spacing w:after="40"/>
            </w:pPr>
            <w:r>
              <w:rPr>
                <w:rFonts w:ascii="Consolas" w:cs="Consolas" w:eastAsia="Consolas" w:hAnsi="Consolas"/>
                <w:color w:val="E5E7EB"/>
                <w:sz w:val="19"/>
                <w:szCs w:val="19"/>
              </w:rPr>
              <w:t xml:space="preserve">  primaryThresholdPence: 12_570_00, secondaryThresholdPence: 5_000_00, upperEarningsLimitPence: 50_270_00,</w:t>
            </w:r>
          </w:p>
          <w:p>
            <w:pPr>
              <w:spacing w:after="40"/>
            </w:pPr>
            <w:r>
              <w:rPr>
                <w:rFonts w:ascii="Consolas" w:cs="Consolas" w:eastAsia="Consolas" w:hAnsi="Consolas"/>
                <w:color w:val="E5E7EB"/>
                <w:sz w:val="19"/>
                <w:szCs w:val="19"/>
              </w:rPr>
              <w:t xml:space="preserve">  employeeMainRatePct: 8, employeeAboveUelRatePct: 2, employerRatePct: 15,</w:t>
            </w:r>
          </w:p>
          <w:p>
            <w:pPr>
              <w:spacing w:after="40"/>
            </w:pPr>
            <w:r>
              <w:rPr>
                <w:rFonts w:ascii="Consolas" w:cs="Consolas" w:eastAsia="Consolas" w:hAnsi="Consolas"/>
                <w:color w:val="E5E7EB"/>
                <w:sz w:val="19"/>
                <w:szCs w:val="19"/>
              </w:rPr>
              <w:t xml:space="preserve">  employmentAllowancePence: 10_500_00,</w:t>
            </w:r>
          </w:p>
          <w:p>
            <w:pPr>
              <w:spacing w:after="40"/>
            </w:pPr>
            <w:r>
              <w:rPr>
                <w:rFonts w:ascii="Consolas" w:cs="Consolas" w:eastAsia="Consolas" w:hAnsi="Consolas"/>
                <w:color w:val="E5E7EB"/>
                <w:sz w:val="19"/>
                <w:szCs w:val="19"/>
              </w:rPr>
              <w:t xml:space="preserve">};</w:t>
            </w:r>
          </w:p>
          <w:p>
            <w:pPr>
              <w:spacing w:after="40"/>
            </w:pPr>
            <w:r>
              <w:rPr>
                <w:rFonts w:ascii="Consolas" w:cs="Consolas" w:eastAsia="Consolas" w:hAnsi="Consolas"/>
                <w:color w:val="E5E7EB"/>
                <w:sz w:val="19"/>
                <w:szCs w:val="19"/>
              </w:rPr>
              <w:t xml:space="preserve"/>
            </w:r>
          </w:p>
          <w:p>
            <w:pPr>
              <w:spacing w:after="40"/>
            </w:pPr>
            <w:r>
              <w:rPr>
                <w:rFonts w:ascii="Consolas" w:cs="Consolas" w:eastAsia="Consolas" w:hAnsi="Consolas"/>
                <w:color w:val="E5E7EB"/>
                <w:sz w:val="19"/>
                <w:szCs w:val="19"/>
              </w:rPr>
              <w:t xml:space="preserve">export interface Class1Result {</w:t>
            </w:r>
          </w:p>
          <w:p>
            <w:pPr>
              <w:spacing w:after="40"/>
            </w:pPr>
            <w:r>
              <w:rPr>
                <w:rFonts w:ascii="Consolas" w:cs="Consolas" w:eastAsia="Consolas" w:hAnsi="Consolas"/>
                <w:color w:val="E5E7EB"/>
                <w:sz w:val="19"/>
                <w:szCs w:val="19"/>
              </w:rPr>
              <w:t xml:space="preserve">  employeeNicPence: Pence; employerNicPence: Pence; employmentAllowanceUsedPence: Pence; warnings: string[];</w:t>
            </w:r>
          </w:p>
          <w:p>
            <w:pPr>
              <w:spacing w:after="40"/>
            </w:pPr>
            <w:r>
              <w:rPr>
                <w:rFonts w:ascii="Consolas" w:cs="Consolas" w:eastAsia="Consolas" w:hAnsi="Consolas"/>
                <w:color w:val="E5E7EB"/>
                <w:sz w:val="19"/>
                <w:szCs w:val="19"/>
              </w:rPr>
              <w:t xml:space="preserve">}</w:t>
            </w:r>
          </w:p>
          <w:p>
            <w:pPr>
              <w:spacing w:after="40"/>
            </w:pPr>
            <w:r>
              <w:rPr>
                <w:rFonts w:ascii="Consolas" w:cs="Consolas" w:eastAsia="Consolas" w:hAnsi="Consolas"/>
                <w:color w:val="E5E7EB"/>
                <w:sz w:val="19"/>
                <w:szCs w:val="19"/>
              </w:rPr>
              <w:t xml:space="preserve"/>
            </w:r>
          </w:p>
          <w:p>
            <w:pPr>
              <w:spacing w:after="40"/>
            </w:pPr>
            <w:r>
              <w:rPr>
                <w:rFonts w:ascii="Consolas" w:cs="Consolas" w:eastAsia="Consolas" w:hAnsi="Consolas"/>
                <w:color w:val="E5E7EB"/>
                <w:sz w:val="19"/>
                <w:szCs w:val="19"/>
              </w:rPr>
              <w:t xml:space="preserve">/**</w:t>
            </w:r>
          </w:p>
          <w:p>
            <w:pPr>
              <w:spacing w:after="40"/>
            </w:pPr>
            <w:r>
              <w:rPr>
                <w:rFonts w:ascii="Consolas" w:cs="Consolas" w:eastAsia="Consolas" w:hAnsi="Consolas"/>
                <w:color w:val="E5E7EB"/>
                <w:sz w:val="19"/>
                <w:szCs w:val="19"/>
              </w:rPr>
              <w:t xml:space="preserve"> * soleDirectorSoleEmployeeCompany: a company whose only employee is also its only</w:t>
            </w:r>
          </w:p>
          <w:p>
            <w:pPr>
              <w:spacing w:after="40"/>
            </w:pPr>
            <w:r>
              <w:rPr>
                <w:rFonts w:ascii="Consolas" w:cs="Consolas" w:eastAsia="Consolas" w:hAnsi="Consolas"/>
                <w:color w:val="E5E7EB"/>
                <w:sz w:val="19"/>
                <w:szCs w:val="19"/>
              </w:rPr>
              <w:t xml:space="preserve"> * director is barred from the Employment Allowance (Rule 3.4.7). employerNicAlreadyClaimedThisYearPence</w:t>
            </w:r>
          </w:p>
          <w:p>
            <w:pPr>
              <w:spacing w:after="40"/>
            </w:pPr>
            <w:r>
              <w:rPr>
                <w:rFonts w:ascii="Consolas" w:cs="Consolas" w:eastAsia="Consolas" w:hAnsi="Consolas"/>
                <w:color w:val="E5E7EB"/>
                <w:sz w:val="19"/>
                <w:szCs w:val="19"/>
              </w:rPr>
              <w:t xml:space="preserve"> * lets a multi-employee payroll track the allowance being used up across several employees.</w:t>
            </w:r>
          </w:p>
          <w:p>
            <w:pPr>
              <w:spacing w:after="40"/>
            </w:pPr>
            <w:r>
              <w:rPr>
                <w:rFonts w:ascii="Consolas" w:cs="Consolas" w:eastAsia="Consolas" w:hAnsi="Consolas"/>
                <w:color w:val="E5E7EB"/>
                <w:sz w:val="19"/>
                <w:szCs w:val="19"/>
              </w:rPr>
              <w:t xml:space="preserve"> */</w:t>
            </w:r>
          </w:p>
          <w:p>
            <w:pPr>
              <w:spacing w:after="40"/>
            </w:pPr>
            <w:r>
              <w:rPr>
                <w:rFonts w:ascii="Consolas" w:cs="Consolas" w:eastAsia="Consolas" w:hAnsi="Consolas"/>
                <w:color w:val="E5E7EB"/>
                <w:sz w:val="19"/>
                <w:szCs w:val="19"/>
              </w:rPr>
              <w:t xml:space="preserve">export function computeClass1(</w:t>
            </w:r>
          </w:p>
          <w:p>
            <w:pPr>
              <w:spacing w:after="40"/>
            </w:pPr>
            <w:r>
              <w:rPr>
                <w:rFonts w:ascii="Consolas" w:cs="Consolas" w:eastAsia="Consolas" w:hAnsi="Consolas"/>
                <w:color w:val="E5E7EB"/>
                <w:sz w:val="19"/>
                <w:szCs w:val="19"/>
              </w:rPr>
              <w:t xml:space="preserve">  annualSalaryPence: Pence,</w:t>
            </w:r>
          </w:p>
          <w:p>
            <w:pPr>
              <w:spacing w:after="40"/>
            </w:pPr>
            <w:r>
              <w:rPr>
                <w:rFonts w:ascii="Consolas" w:cs="Consolas" w:eastAsia="Consolas" w:hAnsi="Consolas"/>
                <w:color w:val="E5E7EB"/>
                <w:sz w:val="19"/>
                <w:szCs w:val="19"/>
              </w:rPr>
              <w:t xml:space="preserve">  soleDirectorSoleEmployeeCompany: boolean,</w:t>
            </w:r>
          </w:p>
          <w:p>
            <w:pPr>
              <w:spacing w:after="40"/>
            </w:pPr>
            <w:r>
              <w:rPr>
                <w:rFonts w:ascii="Consolas" w:cs="Consolas" w:eastAsia="Consolas" w:hAnsi="Consolas"/>
                <w:color w:val="E5E7EB"/>
                <w:sz w:val="19"/>
                <w:szCs w:val="19"/>
              </w:rPr>
              <w:t xml:space="preserve">  employerNicAlreadyClaimedThisYearPence: Pence = 0,</w:t>
            </w:r>
          </w:p>
          <w:p>
            <w:pPr>
              <w:spacing w:after="40"/>
            </w:pPr>
            <w:r>
              <w:rPr>
                <w:rFonts w:ascii="Consolas" w:cs="Consolas" w:eastAsia="Consolas" w:hAnsi="Consolas"/>
                <w:color w:val="E5E7EB"/>
                <w:sz w:val="19"/>
                <w:szCs w:val="19"/>
              </w:rPr>
              <w:t xml:space="preserve">): Class1Result {</w:t>
            </w:r>
          </w:p>
          <w:p>
            <w:pPr>
              <w:spacing w:after="40"/>
            </w:pPr>
            <w:r>
              <w:rPr>
                <w:rFonts w:ascii="Consolas" w:cs="Consolas" w:eastAsia="Consolas" w:hAnsi="Consolas"/>
                <w:color w:val="E5E7EB"/>
                <w:sz w:val="19"/>
                <w:szCs w:val="19"/>
              </w:rPr>
              <w:t xml:space="preserve">  const warnings: string[] = [];</w:t>
            </w:r>
          </w:p>
          <w:p>
            <w:pPr>
              <w:spacing w:after="40"/>
            </w:pPr>
            <w:r>
              <w:rPr>
                <w:rFonts w:ascii="Consolas" w:cs="Consolas" w:eastAsia="Consolas" w:hAnsi="Consolas"/>
                <w:color w:val="E5E7EB"/>
                <w:sz w:val="19"/>
                <w:szCs w:val="19"/>
              </w:rPr>
              <w:t xml:space="preserve">  const r = CLASS1_RATES_2026_27;</w:t>
            </w:r>
          </w:p>
          <w:p>
            <w:pPr>
              <w:spacing w:after="40"/>
            </w:pPr>
            <w:r>
              <w:rPr>
                <w:rFonts w:ascii="Consolas" w:cs="Consolas" w:eastAsia="Consolas" w:hAnsi="Consolas"/>
                <w:color w:val="E5E7EB"/>
                <w:sz w:val="19"/>
                <w:szCs w:val="19"/>
              </w:rPr>
              <w:t xml:space="preserve"/>
            </w:r>
          </w:p>
          <w:p>
            <w:pPr>
              <w:spacing w:after="40"/>
            </w:pPr>
            <w:r>
              <w:rPr>
                <w:rFonts w:ascii="Consolas" w:cs="Consolas" w:eastAsia="Consolas" w:hAnsi="Consolas"/>
                <w:color w:val="E5E7EB"/>
                <w:sz w:val="19"/>
                <w:szCs w:val="19"/>
              </w:rPr>
              <w:t xml:space="preserve">  const employeeMainSlice = Math.max(0, Math.min(annualSalaryPence, r.upperEarningsLimitPence) - r.primaryThresholdPence);</w:t>
            </w:r>
          </w:p>
          <w:p>
            <w:pPr>
              <w:spacing w:after="40"/>
            </w:pPr>
            <w:r>
              <w:rPr>
                <w:rFonts w:ascii="Consolas" w:cs="Consolas" w:eastAsia="Consolas" w:hAnsi="Consolas"/>
                <w:color w:val="E5E7EB"/>
                <w:sz w:val="19"/>
                <w:szCs w:val="19"/>
              </w:rPr>
              <w:t xml:space="preserve">  const employeeAboveUelSlice = Math.max(0, annualSalaryPence - r.upperEarningsLimitPence);</w:t>
            </w:r>
          </w:p>
          <w:p>
            <w:pPr>
              <w:spacing w:after="40"/>
            </w:pPr>
            <w:r>
              <w:rPr>
                <w:rFonts w:ascii="Consolas" w:cs="Consolas" w:eastAsia="Consolas" w:hAnsi="Consolas"/>
                <w:color w:val="E5E7EB"/>
                <w:sz w:val="19"/>
                <w:szCs w:val="19"/>
              </w:rPr>
              <w:t xml:space="preserve">  const employeeNic = roundP((employeeMainSlice * r.employeeMainRatePct) / 100)</w:t>
            </w:r>
          </w:p>
          <w:p>
            <w:pPr>
              <w:spacing w:after="40"/>
            </w:pPr>
            <w:r>
              <w:rPr>
                <w:rFonts w:ascii="Consolas" w:cs="Consolas" w:eastAsia="Consolas" w:hAnsi="Consolas"/>
                <w:color w:val="E5E7EB"/>
                <w:sz w:val="19"/>
                <w:szCs w:val="19"/>
              </w:rPr>
              <w:t xml:space="preserve">    + roundP((employeeAboveUelSlice * r.employeeAboveUelRatePct) / 100);</w:t>
            </w:r>
          </w:p>
          <w:p>
            <w:pPr>
              <w:spacing w:after="40"/>
            </w:pPr>
            <w:r>
              <w:rPr>
                <w:rFonts w:ascii="Consolas" w:cs="Consolas" w:eastAsia="Consolas" w:hAnsi="Consolas"/>
                <w:color w:val="E5E7EB"/>
                <w:sz w:val="19"/>
                <w:szCs w:val="19"/>
              </w:rPr>
              <w:t xml:space="preserve"/>
            </w:r>
          </w:p>
          <w:p>
            <w:pPr>
              <w:spacing w:after="40"/>
            </w:pPr>
            <w:r>
              <w:rPr>
                <w:rFonts w:ascii="Consolas" w:cs="Consolas" w:eastAsia="Consolas" w:hAnsi="Consolas"/>
                <w:color w:val="E5E7EB"/>
                <w:sz w:val="19"/>
                <w:szCs w:val="19"/>
              </w:rPr>
              <w:t xml:space="preserve">  const employerSlice = Math.max(0, annualSalaryPence - r.secondaryThresholdPence);</w:t>
            </w:r>
          </w:p>
          <w:p>
            <w:pPr>
              <w:spacing w:after="40"/>
            </w:pPr>
            <w:r>
              <w:rPr>
                <w:rFonts w:ascii="Consolas" w:cs="Consolas" w:eastAsia="Consolas" w:hAnsi="Consolas"/>
                <w:color w:val="E5E7EB"/>
                <w:sz w:val="19"/>
                <w:szCs w:val="19"/>
              </w:rPr>
              <w:t xml:space="preserve">  let employerNicGross = roundP((employerSlice * r.employerRatePct) / 100);</w:t>
            </w:r>
          </w:p>
          <w:p>
            <w:pPr>
              <w:spacing w:after="40"/>
            </w:pPr>
            <w:r>
              <w:rPr>
                <w:rFonts w:ascii="Consolas" w:cs="Consolas" w:eastAsia="Consolas" w:hAnsi="Consolas"/>
                <w:color w:val="E5E7EB"/>
                <w:sz w:val="19"/>
                <w:szCs w:val="19"/>
              </w:rPr>
              <w:t xml:space="preserve"/>
            </w:r>
          </w:p>
          <w:p>
            <w:pPr>
              <w:spacing w:after="40"/>
            </w:pPr>
            <w:r>
              <w:rPr>
                <w:rFonts w:ascii="Consolas" w:cs="Consolas" w:eastAsia="Consolas" w:hAnsi="Consolas"/>
                <w:color w:val="E5E7EB"/>
                <w:sz w:val="19"/>
                <w:szCs w:val="19"/>
              </w:rPr>
              <w:t xml:space="preserve">  let allowanceUsed = 0;</w:t>
            </w:r>
          </w:p>
          <w:p>
            <w:pPr>
              <w:spacing w:after="40"/>
            </w:pPr>
            <w:r>
              <w:rPr>
                <w:rFonts w:ascii="Consolas" w:cs="Consolas" w:eastAsia="Consolas" w:hAnsi="Consolas"/>
                <w:color w:val="E5E7EB"/>
                <w:sz w:val="19"/>
                <w:szCs w:val="19"/>
              </w:rPr>
              <w:t xml:space="preserve">  if (soleDirectorSoleEmployeeCompany) {</w:t>
            </w:r>
          </w:p>
          <w:p>
            <w:pPr>
              <w:spacing w:after="40"/>
            </w:pPr>
            <w:r>
              <w:rPr>
                <w:rFonts w:ascii="Consolas" w:cs="Consolas" w:eastAsia="Consolas" w:hAnsi="Consolas"/>
                <w:color w:val="E5E7EB"/>
                <w:sz w:val="19"/>
                <w:szCs w:val="19"/>
              </w:rPr>
              <w:t xml:space="preserve">    warnings.push('Sole-director-sole-employee company: Employment Allowance is blocked, full employer NIC charged');</w:t>
            </w:r>
          </w:p>
          <w:p>
            <w:pPr>
              <w:spacing w:after="40"/>
            </w:pPr>
            <w:r>
              <w:rPr>
                <w:rFonts w:ascii="Consolas" w:cs="Consolas" w:eastAsia="Consolas" w:hAnsi="Consolas"/>
                <w:color w:val="E5E7EB"/>
                <w:sz w:val="19"/>
                <w:szCs w:val="19"/>
              </w:rPr>
              <w:t xml:space="preserve">  } else {</w:t>
            </w:r>
          </w:p>
          <w:p>
            <w:pPr>
              <w:spacing w:after="40"/>
            </w:pPr>
            <w:r>
              <w:rPr>
                <w:rFonts w:ascii="Consolas" w:cs="Consolas" w:eastAsia="Consolas" w:hAnsi="Consolas"/>
                <w:color w:val="E5E7EB"/>
                <w:sz w:val="19"/>
                <w:szCs w:val="19"/>
              </w:rPr>
              <w:t xml:space="preserve">    const allowanceRemaining = Math.max(0, r.employmentAllowancePence - employerNicAlreadyClaimedThisYearPence);</w:t>
            </w:r>
          </w:p>
          <w:p>
            <w:pPr>
              <w:spacing w:after="40"/>
            </w:pPr>
            <w:r>
              <w:rPr>
                <w:rFonts w:ascii="Consolas" w:cs="Consolas" w:eastAsia="Consolas" w:hAnsi="Consolas"/>
                <w:color w:val="E5E7EB"/>
                <w:sz w:val="19"/>
                <w:szCs w:val="19"/>
              </w:rPr>
              <w:t xml:space="preserve">    allowanceUsed = Math.min(allowanceRemaining, employerNicGross);</w:t>
            </w:r>
          </w:p>
          <w:p>
            <w:pPr>
              <w:spacing w:after="40"/>
            </w:pPr>
            <w:r>
              <w:rPr>
                <w:rFonts w:ascii="Consolas" w:cs="Consolas" w:eastAsia="Consolas" w:hAnsi="Consolas"/>
                <w:color w:val="E5E7EB"/>
                <w:sz w:val="19"/>
                <w:szCs w:val="19"/>
              </w:rPr>
              <w:t xml:space="preserve">  }</w:t>
            </w:r>
          </w:p>
          <w:p>
            <w:pPr>
              <w:spacing w:after="40"/>
            </w:pPr>
            <w:r>
              <w:rPr>
                <w:rFonts w:ascii="Consolas" w:cs="Consolas" w:eastAsia="Consolas" w:hAnsi="Consolas"/>
                <w:color w:val="E5E7EB"/>
                <w:sz w:val="19"/>
                <w:szCs w:val="19"/>
              </w:rPr>
              <w:t xml:space="preserve">  const employerNic = employerNicGross - allowanceUsed;</w:t>
            </w:r>
          </w:p>
          <w:p>
            <w:pPr>
              <w:spacing w:after="40"/>
            </w:pPr>
            <w:r>
              <w:rPr>
                <w:rFonts w:ascii="Consolas" w:cs="Consolas" w:eastAsia="Consolas" w:hAnsi="Consolas"/>
                <w:color w:val="E5E7EB"/>
                <w:sz w:val="19"/>
                <w:szCs w:val="19"/>
              </w:rPr>
              <w:t xml:space="preserve"/>
            </w:r>
          </w:p>
          <w:p>
            <w:pPr>
              <w:spacing w:after="40"/>
            </w:pPr>
            <w:r>
              <w:rPr>
                <w:rFonts w:ascii="Consolas" w:cs="Consolas" w:eastAsia="Consolas" w:hAnsi="Consolas"/>
                <w:color w:val="E5E7EB"/>
                <w:sz w:val="19"/>
                <w:szCs w:val="19"/>
              </w:rPr>
              <w:t xml:space="preserve">  return { employeeNicPence: employeeNic, employerNicPence: employerNic, employmentAllowanceUsedPence: allowanceUsed, warnings };</w:t>
            </w:r>
          </w:p>
          <w:p>
            <w:pPr>
              <w:spacing w:after="40"/>
            </w:pPr>
            <w:r>
              <w:rPr>
                <w:rFonts w:ascii="Consolas" w:cs="Consolas" w:eastAsia="Consolas" w:hAnsi="Consolas"/>
                <w:color w:val="E5E7EB"/>
                <w:sz w:val="19"/>
                <w:szCs w:val="19"/>
              </w:rPr>
              <w:t xml:space="preserve">}</w:t>
            </w:r>
          </w:p>
          <w:p>
            <w:pPr>
              <w:spacing w:after="40"/>
            </w:pPr>
            <w:r>
              <w:rPr>
                <w:rFonts w:ascii="Consolas" w:cs="Consolas" w:eastAsia="Consolas" w:hAnsi="Consolas"/>
                <w:color w:val="E5E7EB"/>
                <w:sz w:val="19"/>
                <w:szCs w:val="19"/>
              </w:rPr>
              <w:t xml:space="preserve"/>
            </w:r>
          </w:p>
          <w:p>
            <w:pPr>
              <w:spacing w:after="40"/>
            </w:pPr>
            <w:r>
              <w:rPr>
                <w:rFonts w:ascii="Consolas" w:cs="Consolas" w:eastAsia="Consolas" w:hAnsi="Consolas"/>
                <w:color w:val="E5E7EB"/>
                <w:sz w:val="19"/>
                <w:szCs w:val="19"/>
              </w:rPr>
              <w:t xml:space="preserve">// ---------- Class 2 / Class 4 NIC (self-employed) ----------</w:t>
            </w:r>
          </w:p>
          <w:p>
            <w:pPr>
              <w:spacing w:after="40"/>
            </w:pPr>
            <w:r>
              <w:rPr>
                <w:rFonts w:ascii="Consolas" w:cs="Consolas" w:eastAsia="Consolas" w:hAnsi="Consolas"/>
                <w:color w:val="E5E7EB"/>
                <w:sz w:val="19"/>
                <w:szCs w:val="19"/>
              </w:rPr>
              <w:t xml:space="preserve">export const CLASS2_SMALL_PROFITS_THRESHOLD_PENCE = 7_105_00;</w:t>
            </w:r>
          </w:p>
          <w:p>
            <w:pPr>
              <w:spacing w:after="40"/>
            </w:pPr>
            <w:r>
              <w:rPr>
                <w:rFonts w:ascii="Consolas" w:cs="Consolas" w:eastAsia="Consolas" w:hAnsi="Consolas"/>
                <w:color w:val="E5E7EB"/>
                <w:sz w:val="19"/>
                <w:szCs w:val="19"/>
              </w:rPr>
              <w:t xml:space="preserve">export const CLASS2_VOLUNTARY_WEEKLY_PENCE = 3_65;</w:t>
            </w:r>
          </w:p>
          <w:p>
            <w:pPr>
              <w:spacing w:after="40"/>
            </w:pPr>
            <w:r>
              <w:rPr>
                <w:rFonts w:ascii="Consolas" w:cs="Consolas" w:eastAsia="Consolas" w:hAnsi="Consolas"/>
                <w:color w:val="E5E7EB"/>
                <w:sz w:val="19"/>
                <w:szCs w:val="19"/>
              </w:rPr>
              <w:t xml:space="preserve">export const CLASS4_LOWER_PROFITS_LIMIT_PENCE = 12_570_00;</w:t>
            </w:r>
          </w:p>
          <w:p>
            <w:pPr>
              <w:spacing w:after="40"/>
            </w:pPr>
            <w:r>
              <w:rPr>
                <w:rFonts w:ascii="Consolas" w:cs="Consolas" w:eastAsia="Consolas" w:hAnsi="Consolas"/>
                <w:color w:val="E5E7EB"/>
                <w:sz w:val="19"/>
                <w:szCs w:val="19"/>
              </w:rPr>
              <w:t xml:space="preserve">export const CLASS4_UPPER_PROFITS_LIMIT_PENCE = 50_270_00;</w:t>
            </w:r>
          </w:p>
          <w:p>
            <w:pPr>
              <w:spacing w:after="40"/>
            </w:pPr>
            <w:r>
              <w:rPr>
                <w:rFonts w:ascii="Consolas" w:cs="Consolas" w:eastAsia="Consolas" w:hAnsi="Consolas"/>
                <w:color w:val="E5E7EB"/>
                <w:sz w:val="19"/>
                <w:szCs w:val="19"/>
              </w:rPr>
              <w:t xml:space="preserve">export const CLASS4_MAIN_RATE_PCT = 6;</w:t>
            </w:r>
          </w:p>
          <w:p>
            <w:pPr>
              <w:spacing w:after="40"/>
            </w:pPr>
            <w:r>
              <w:rPr>
                <w:rFonts w:ascii="Consolas" w:cs="Consolas" w:eastAsia="Consolas" w:hAnsi="Consolas"/>
                <w:color w:val="E5E7EB"/>
                <w:sz w:val="19"/>
                <w:szCs w:val="19"/>
              </w:rPr>
              <w:t xml:space="preserve">export const CLASS4_ABOVE_UPL_RATE_PCT = 2;</w:t>
            </w:r>
          </w:p>
          <w:p>
            <w:pPr>
              <w:spacing w:after="40"/>
            </w:pPr>
            <w:r>
              <w:rPr>
                <w:rFonts w:ascii="Consolas" w:cs="Consolas" w:eastAsia="Consolas" w:hAnsi="Consolas"/>
                <w:color w:val="E5E7EB"/>
                <w:sz w:val="19"/>
                <w:szCs w:val="19"/>
              </w:rPr>
              <w:t xml:space="preserve"/>
            </w:r>
          </w:p>
          <w:p>
            <w:pPr>
              <w:spacing w:after="40"/>
            </w:pPr>
            <w:r>
              <w:rPr>
                <w:rFonts w:ascii="Consolas" w:cs="Consolas" w:eastAsia="Consolas" w:hAnsi="Consolas"/>
                <w:color w:val="E5E7EB"/>
                <w:sz w:val="19"/>
                <w:szCs w:val="19"/>
              </w:rPr>
              <w:t xml:space="preserve">export interface SelfEmployedNicResult {</w:t>
            </w:r>
          </w:p>
          <w:p>
            <w:pPr>
              <w:spacing w:after="40"/>
            </w:pPr>
            <w:r>
              <w:rPr>
                <w:rFonts w:ascii="Consolas" w:cs="Consolas" w:eastAsia="Consolas" w:hAnsi="Consolas"/>
                <w:color w:val="E5E7EB"/>
                <w:sz w:val="19"/>
                <w:szCs w:val="19"/>
              </w:rPr>
              <w:t xml:space="preserve">  class2Pence: Pence; class2Payable: boolean; class4Pence: Pence; warnings: string[];</w:t>
            </w:r>
          </w:p>
          <w:p>
            <w:pPr>
              <w:spacing w:after="40"/>
            </w:pPr>
            <w:r>
              <w:rPr>
                <w:rFonts w:ascii="Consolas" w:cs="Consolas" w:eastAsia="Consolas" w:hAnsi="Consolas"/>
                <w:color w:val="E5E7EB"/>
                <w:sz w:val="19"/>
                <w:szCs w:val="19"/>
              </w:rPr>
              <w:t xml:space="preserve">}</w:t>
            </w:r>
          </w:p>
          <w:p>
            <w:pPr>
              <w:spacing w:after="40"/>
            </w:pPr>
            <w:r>
              <w:rPr>
                <w:rFonts w:ascii="Consolas" w:cs="Consolas" w:eastAsia="Consolas" w:hAnsi="Consolas"/>
                <w:color w:val="E5E7EB"/>
                <w:sz w:val="19"/>
                <w:szCs w:val="19"/>
              </w:rPr>
              <w:t xml:space="preserve"/>
            </w:r>
          </w:p>
          <w:p>
            <w:pPr>
              <w:spacing w:after="40"/>
            </w:pPr>
            <w:r>
              <w:rPr>
                <w:rFonts w:ascii="Consolas" w:cs="Consolas" w:eastAsia="Consolas" w:hAnsi="Consolas"/>
                <w:color w:val="E5E7EB"/>
                <w:sz w:val="19"/>
                <w:szCs w:val="19"/>
              </w:rPr>
              <w:t xml:space="preserve">/**</w:t>
            </w:r>
          </w:p>
          <w:p>
            <w:pPr>
              <w:spacing w:after="40"/>
            </w:pPr>
            <w:r>
              <w:rPr>
                <w:rFonts w:ascii="Consolas" w:cs="Consolas" w:eastAsia="Consolas" w:hAnsi="Consolas"/>
                <w:color w:val="E5E7EB"/>
                <w:sz w:val="19"/>
                <w:szCs w:val="19"/>
              </w:rPr>
              <w:t xml:space="preserve"> * Class 2 is a flat weekly charge, payable only once profits reach the Small Profits</w:t>
            </w:r>
          </w:p>
          <w:p>
            <w:pPr>
              <w:spacing w:after="40"/>
            </w:pPr>
            <w:r>
              <w:rPr>
                <w:rFonts w:ascii="Consolas" w:cs="Consolas" w:eastAsia="Consolas" w:hAnsi="Consolas"/>
                <w:color w:val="E5E7EB"/>
                <w:sz w:val="19"/>
                <w:szCs w:val="19"/>
              </w:rPr>
              <w:t xml:space="preserve"> * Threshold, unless voluntaryClass2 is chosen to protect state pension entitlement below it.</w:t>
            </w:r>
          </w:p>
          <w:p>
            <w:pPr>
              <w:spacing w:after="40"/>
            </w:pPr>
            <w:r>
              <w:rPr>
                <w:rFonts w:ascii="Consolas" w:cs="Consolas" w:eastAsia="Consolas" w:hAnsi="Consolas"/>
                <w:color w:val="E5E7EB"/>
                <w:sz w:val="19"/>
                <w:szCs w:val="19"/>
              </w:rPr>
              <w:t xml:space="preserve"> * Class 4 is a profit-banded percentage, independent of the Class 2 decision.</w:t>
            </w:r>
          </w:p>
          <w:p>
            <w:pPr>
              <w:spacing w:after="40"/>
            </w:pPr>
            <w:r>
              <w:rPr>
                <w:rFonts w:ascii="Consolas" w:cs="Consolas" w:eastAsia="Consolas" w:hAnsi="Consolas"/>
                <w:color w:val="E5E7EB"/>
                <w:sz w:val="19"/>
                <w:szCs w:val="19"/>
              </w:rPr>
              <w:t xml:space="preserve"> */</w:t>
            </w:r>
          </w:p>
          <w:p>
            <w:pPr>
              <w:spacing w:after="40"/>
            </w:pPr>
            <w:r>
              <w:rPr>
                <w:rFonts w:ascii="Consolas" w:cs="Consolas" w:eastAsia="Consolas" w:hAnsi="Consolas"/>
                <w:color w:val="E5E7EB"/>
                <w:sz w:val="19"/>
                <w:szCs w:val="19"/>
              </w:rPr>
              <w:t xml:space="preserve">export function computeSelfEmployedNic(annualProfitPence: Pence, voluntaryClass2: boolean): SelfEmployedNicResult {</w:t>
            </w:r>
          </w:p>
          <w:p>
            <w:pPr>
              <w:spacing w:after="40"/>
            </w:pPr>
            <w:r>
              <w:rPr>
                <w:rFonts w:ascii="Consolas" w:cs="Consolas" w:eastAsia="Consolas" w:hAnsi="Consolas"/>
                <w:color w:val="E5E7EB"/>
                <w:sz w:val="19"/>
                <w:szCs w:val="19"/>
              </w:rPr>
              <w:t xml:space="preserve">  const warnings: string[] = [];</w:t>
            </w:r>
          </w:p>
          <w:p>
            <w:pPr>
              <w:spacing w:after="40"/>
            </w:pPr>
            <w:r>
              <w:rPr>
                <w:rFonts w:ascii="Consolas" w:cs="Consolas" w:eastAsia="Consolas" w:hAnsi="Consolas"/>
                <w:color w:val="E5E7EB"/>
                <w:sz w:val="19"/>
                <w:szCs w:val="19"/>
              </w:rPr>
              <w:t xml:space="preserve">  const meetsThreshold = annualProfitPence &gt;= CLASS2_SMALL_PROFITS_THRESHOLD_PENCE;</w:t>
            </w:r>
          </w:p>
          <w:p>
            <w:pPr>
              <w:spacing w:after="40"/>
            </w:pPr>
            <w:r>
              <w:rPr>
                <w:rFonts w:ascii="Consolas" w:cs="Consolas" w:eastAsia="Consolas" w:hAnsi="Consolas"/>
                <w:color w:val="E5E7EB"/>
                <w:sz w:val="19"/>
                <w:szCs w:val="19"/>
              </w:rPr>
              <w:t xml:space="preserve">  const class2Payable = meetsThreshold || voluntaryClass2;</w:t>
            </w:r>
          </w:p>
          <w:p>
            <w:pPr>
              <w:spacing w:after="40"/>
            </w:pPr>
            <w:r>
              <w:rPr>
                <w:rFonts w:ascii="Consolas" w:cs="Consolas" w:eastAsia="Consolas" w:hAnsi="Consolas"/>
                <w:color w:val="E5E7EB"/>
                <w:sz w:val="19"/>
                <w:szCs w:val="19"/>
              </w:rPr>
              <w:t xml:space="preserve">  const class2 = class2Payable ? CLASS2_VOLUNTARY_WEEKLY_PENCE * 52 : 0;</w:t>
            </w:r>
          </w:p>
          <w:p>
            <w:pPr>
              <w:spacing w:after="40"/>
            </w:pPr>
            <w:r>
              <w:rPr>
                <w:rFonts w:ascii="Consolas" w:cs="Consolas" w:eastAsia="Consolas" w:hAnsi="Consolas"/>
                <w:color w:val="E5E7EB"/>
                <w:sz w:val="19"/>
                <w:szCs w:val="19"/>
              </w:rPr>
              <w:t xml:space="preserve">  if (!meetsThreshold &amp;&amp; !voluntaryClass2) {</w:t>
            </w:r>
          </w:p>
          <w:p>
            <w:pPr>
              <w:spacing w:after="40"/>
            </w:pPr>
            <w:r>
              <w:rPr>
                <w:rFonts w:ascii="Consolas" w:cs="Consolas" w:eastAsia="Consolas" w:hAnsi="Consolas"/>
                <w:color w:val="E5E7EB"/>
                <w:sz w:val="19"/>
                <w:szCs w:val="19"/>
              </w:rPr>
              <w:t xml:space="preserve">    warnings.push('Profit below the Small Profits Threshold and voluntary Class 2 not elected: no state pension qualifying year from Class 2');</w:t>
            </w:r>
          </w:p>
          <w:p>
            <w:pPr>
              <w:spacing w:after="40"/>
            </w:pPr>
            <w:r>
              <w:rPr>
                <w:rFonts w:ascii="Consolas" w:cs="Consolas" w:eastAsia="Consolas" w:hAnsi="Consolas"/>
                <w:color w:val="E5E7EB"/>
                <w:sz w:val="19"/>
                <w:szCs w:val="19"/>
              </w:rPr>
              <w:t xml:space="preserve">  }</w:t>
            </w:r>
          </w:p>
          <w:p>
            <w:pPr>
              <w:spacing w:after="40"/>
            </w:pPr>
            <w:r>
              <w:rPr>
                <w:rFonts w:ascii="Consolas" w:cs="Consolas" w:eastAsia="Consolas" w:hAnsi="Consolas"/>
                <w:color w:val="E5E7EB"/>
                <w:sz w:val="19"/>
                <w:szCs w:val="19"/>
              </w:rPr>
              <w:t xml:space="preserve"/>
            </w:r>
          </w:p>
          <w:p>
            <w:pPr>
              <w:spacing w:after="40"/>
            </w:pPr>
            <w:r>
              <w:rPr>
                <w:rFonts w:ascii="Consolas" w:cs="Consolas" w:eastAsia="Consolas" w:hAnsi="Consolas"/>
                <w:color w:val="E5E7EB"/>
                <w:sz w:val="19"/>
                <w:szCs w:val="19"/>
              </w:rPr>
              <w:t xml:space="preserve">  const mainSlice = Math.max(0, Math.min(annualProfitPence, CLASS4_UPPER_PROFITS_LIMIT_PENCE) - CLASS4_LOWER_PROFITS_LIMIT_PENCE);</w:t>
            </w:r>
          </w:p>
          <w:p>
            <w:pPr>
              <w:spacing w:after="40"/>
            </w:pPr>
            <w:r>
              <w:rPr>
                <w:rFonts w:ascii="Consolas" w:cs="Consolas" w:eastAsia="Consolas" w:hAnsi="Consolas"/>
                <w:color w:val="E5E7EB"/>
                <w:sz w:val="19"/>
                <w:szCs w:val="19"/>
              </w:rPr>
              <w:t xml:space="preserve">  const aboveUplSlice = Math.max(0, annualProfitPence - CLASS4_UPPER_PROFITS_LIMIT_PENCE);</w:t>
            </w:r>
          </w:p>
          <w:p>
            <w:pPr>
              <w:spacing w:after="40"/>
            </w:pPr>
            <w:r>
              <w:rPr>
                <w:rFonts w:ascii="Consolas" w:cs="Consolas" w:eastAsia="Consolas" w:hAnsi="Consolas"/>
                <w:color w:val="E5E7EB"/>
                <w:sz w:val="19"/>
                <w:szCs w:val="19"/>
              </w:rPr>
              <w:t xml:space="preserve">  const class4 = roundP((mainSlice * CLASS4_MAIN_RATE_PCT) / 100) + roundP((aboveUplSlice * CLASS4_ABOVE_UPL_RATE_PCT) / 100);</w:t>
            </w:r>
          </w:p>
          <w:p>
            <w:pPr>
              <w:spacing w:after="40"/>
            </w:pPr>
            <w:r>
              <w:rPr>
                <w:rFonts w:ascii="Consolas" w:cs="Consolas" w:eastAsia="Consolas" w:hAnsi="Consolas"/>
                <w:color w:val="E5E7EB"/>
                <w:sz w:val="19"/>
                <w:szCs w:val="19"/>
              </w:rPr>
              <w:t xml:space="preserve"/>
            </w:r>
          </w:p>
          <w:p>
            <w:pPr>
              <w:spacing w:after="40"/>
            </w:pPr>
            <w:r>
              <w:rPr>
                <w:rFonts w:ascii="Consolas" w:cs="Consolas" w:eastAsia="Consolas" w:hAnsi="Consolas"/>
                <w:color w:val="E5E7EB"/>
                <w:sz w:val="19"/>
                <w:szCs w:val="19"/>
              </w:rPr>
              <w:t xml:space="preserve">  return { class2Pence: class2, class2Payable, class4Pence: class4, warnings };</w:t>
            </w:r>
          </w:p>
          <w:p>
            <w:pPr>
              <w:spacing w:after="40"/>
            </w:pPr>
            <w:r>
              <w:rPr>
                <w:rFonts w:ascii="Consolas" w:cs="Consolas" w:eastAsia="Consolas" w:hAnsi="Consolas"/>
                <w:color w:val="E5E7EB"/>
                <w:sz w:val="19"/>
                <w:szCs w:val="19"/>
              </w:rPr>
              <w:t xml:space="preserve">}</w:t>
            </w:r>
          </w:p>
        </w:tc>
      </w:tr>
    </w:tbl>
    <w:p>
      <w:pPr>
        <w:spacing w:after="150" w:line="300"/>
      </w:pPr>
      <w:r>
        <w:rPr>
          <w:color w:val="202020"/>
          <w:sz w:val="21"/>
          <w:szCs w:val="21"/>
        </w:rPr>
        <w:t xml:space="preserve">The 15 tests below are the permanent regression suite for this engine, including three that reproduce this document's own Section 3.4 worked examples exactly, independent confirmation the engine and the prose spec agree, in the same way the two highlighted Corporation Tax tests do in 12.2.</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shd w:fill="1F2937" w:color="auto" w:val="clear"/>
            <w:tcMar>
              <w:top w:type="dxa" w:w="160"/>
              <w:left w:type="dxa" w:w="200"/>
              <w:bottom w:type="dxa" w:w="160"/>
              <w:right w:type="dxa" w:w="200"/>
            </w:tcMar>
          </w:tcPr>
          <w:p>
            <w:pPr>
              <w:spacing w:after="40"/>
            </w:pPr>
            <w:r>
              <w:rPr>
                <w:rFonts w:ascii="Consolas" w:cs="Consolas" w:eastAsia="Consolas" w:hAnsi="Consolas"/>
                <w:color w:val="E5E7EB"/>
                <w:sz w:val="19"/>
                <w:szCs w:val="19"/>
              </w:rPr>
              <w:t xml:space="preserve">ok  dividend stacking matches the worked example in Rule 3.4.5 exactly: £4,821.25</w:t>
            </w:r>
          </w:p>
          <w:p>
            <w:pPr>
              <w:spacing w:after="40"/>
            </w:pPr>
            <w:r>
              <w:rPr>
                <w:rFonts w:ascii="Consolas" w:cs="Consolas" w:eastAsia="Consolas" w:hAnsi="Consolas"/>
                <w:color w:val="E5E7EB"/>
                <w:sz w:val="19"/>
                <w:szCs w:val="19"/>
              </w:rPr>
              <w:t xml:space="preserve">ok  trading allowance via actual expenses matches Rule 3.4.6 exactly: £6,500 taxable</w:t>
            </w:r>
          </w:p>
          <w:p>
            <w:pPr>
              <w:spacing w:after="40"/>
            </w:pPr>
            <w:r>
              <w:rPr>
                <w:rFonts w:ascii="Consolas" w:cs="Consolas" w:eastAsia="Consolas" w:hAnsi="Consolas"/>
                <w:color w:val="E5E7EB"/>
                <w:sz w:val="19"/>
                <w:szCs w:val="19"/>
              </w:rPr>
              <w:t xml:space="preserve">ok  Class 1 NIC, sole director, matches Rule 3.4.7 exactly: employer NIC £1,135.50, EA blocked</w:t>
            </w:r>
          </w:p>
          <w:p>
            <w:pPr>
              <w:spacing w:after="40"/>
            </w:pPr>
            <w:r>
              <w:rPr>
                <w:rFonts w:ascii="Consolas" w:cs="Consolas" w:eastAsia="Consolas" w:hAnsi="Consolas"/>
                <w:color w:val="E5E7EB"/>
                <w:sz w:val="19"/>
                <w:szCs w:val="19"/>
              </w:rPr>
              <w:t xml:space="preserve">ok  Personal Allowance taper: £110,000 income -&gt; tapered PA £7,570</w:t>
            </w:r>
          </w:p>
          <w:p>
            <w:pPr>
              <w:spacing w:after="40"/>
            </w:pPr>
            <w:r>
              <w:rPr>
                <w:rFonts w:ascii="Consolas" w:cs="Consolas" w:eastAsia="Consolas" w:hAnsi="Consolas"/>
                <w:color w:val="E5E7EB"/>
                <w:sz w:val="19"/>
                <w:szCs w:val="19"/>
              </w:rPr>
              <w:t xml:space="preserve">ok  Personal Allowance taper boundary: £100,000 exactly -&gt; full £12,570 retained</w:t>
            </w:r>
          </w:p>
          <w:p>
            <w:pPr>
              <w:spacing w:after="40"/>
            </w:pPr>
            <w:r>
              <w:rPr>
                <w:rFonts w:ascii="Consolas" w:cs="Consolas" w:eastAsia="Consolas" w:hAnsi="Consolas"/>
                <w:color w:val="E5E7EB"/>
                <w:sz w:val="19"/>
                <w:szCs w:val="19"/>
              </w:rPr>
              <w:t xml:space="preserve">ok  Personal Allowance taper: fully withdrawn at £125,140 and beyond, floor at £0</w:t>
            </w:r>
          </w:p>
          <w:p>
            <w:pPr>
              <w:spacing w:after="40"/>
            </w:pPr>
            <w:r>
              <w:rPr>
                <w:rFonts w:ascii="Consolas" w:cs="Consolas" w:eastAsia="Consolas" w:hAnsi="Consolas"/>
                <w:color w:val="E5E7EB"/>
                <w:sz w:val="19"/>
                <w:szCs w:val="19"/>
              </w:rPr>
              <w:t xml:space="preserve">ok  full income tax with taper: £110,000 salary only -&gt; £32,432.00</w:t>
            </w:r>
          </w:p>
          <w:p>
            <w:pPr>
              <w:spacing w:after="40"/>
            </w:pPr>
            <w:r>
              <w:rPr>
                <w:rFonts w:ascii="Consolas" w:cs="Consolas" w:eastAsia="Consolas" w:hAnsi="Consolas"/>
                <w:color w:val="E5E7EB"/>
                <w:sz w:val="19"/>
                <w:szCs w:val="19"/>
              </w:rPr>
              <w:t xml:space="preserve">ok  trading allowance: full exemption, gross £900 -&gt; £0 taxable</w:t>
            </w:r>
          </w:p>
          <w:p>
            <w:pPr>
              <w:spacing w:after="40"/>
            </w:pPr>
            <w:r>
              <w:rPr>
                <w:rFonts w:ascii="Consolas" w:cs="Consolas" w:eastAsia="Consolas" w:hAnsi="Consolas"/>
                <w:color w:val="E5E7EB"/>
                <w:sz w:val="19"/>
                <w:szCs w:val="19"/>
              </w:rPr>
              <w:t xml:space="preserve">ok  trading allowance beats actual expenses: £5,000 gross / £200 expenses -&gt; £4,000 taxable</w:t>
            </w:r>
          </w:p>
          <w:p>
            <w:pPr>
              <w:spacing w:after="40"/>
            </w:pPr>
            <w:r>
              <w:rPr>
                <w:rFonts w:ascii="Consolas" w:cs="Consolas" w:eastAsia="Consolas" w:hAnsi="Consolas"/>
                <w:color w:val="E5E7EB"/>
                <w:sz w:val="19"/>
                <w:szCs w:val="19"/>
              </w:rPr>
              <w:t xml:space="preserve">ok  self-employed NIC: £40,000 profit -&gt; Class 2 £189.80, Class 4 £1,645.80</w:t>
            </w:r>
          </w:p>
          <w:p>
            <w:pPr>
              <w:spacing w:after="40"/>
            </w:pPr>
            <w:r>
              <w:rPr>
                <w:rFonts w:ascii="Consolas" w:cs="Consolas" w:eastAsia="Consolas" w:hAnsi="Consolas"/>
                <w:color w:val="E5E7EB"/>
                <w:sz w:val="19"/>
                <w:szCs w:val="19"/>
              </w:rPr>
              <w:t xml:space="preserve">ok  self-employed NIC: profit below the Small Profits Threshold, no voluntary election, Class 2 not payable, warning issued</w:t>
            </w:r>
          </w:p>
          <w:p>
            <w:pPr>
              <w:spacing w:after="40"/>
            </w:pPr>
            <w:r>
              <w:rPr>
                <w:rFonts w:ascii="Consolas" w:cs="Consolas" w:eastAsia="Consolas" w:hAnsi="Consolas"/>
                <w:color w:val="E5E7EB"/>
                <w:sz w:val="19"/>
                <w:szCs w:val="19"/>
              </w:rPr>
              <w:t xml:space="preserve">ok  self-employed NIC: profit below threshold, voluntary Class 2 elected, £189.80 payable</w:t>
            </w:r>
          </w:p>
          <w:p>
            <w:pPr>
              <w:spacing w:after="40"/>
            </w:pPr>
            <w:r>
              <w:rPr>
                <w:rFonts w:ascii="Consolas" w:cs="Consolas" w:eastAsia="Consolas" w:hAnsi="Consolas"/>
                <w:color w:val="E5E7EB"/>
                <w:sz w:val="19"/>
                <w:szCs w:val="19"/>
              </w:rPr>
              <w:t xml:space="preserve">ok  self-employed NIC: £60,000 profit crosses the Upper Profits Limit -&gt; Class 4 £2,456.60</w:t>
            </w:r>
          </w:p>
          <w:p>
            <w:pPr>
              <w:spacing w:after="40"/>
            </w:pPr>
            <w:r>
              <w:rPr>
                <w:rFonts w:ascii="Consolas" w:cs="Consolas" w:eastAsia="Consolas" w:hAnsi="Consolas"/>
                <w:color w:val="E5E7EB"/>
                <w:sz w:val="19"/>
                <w:szCs w:val="19"/>
              </w:rPr>
              <w:t xml:space="preserve">ok  Class 1 NIC, multi-employee company: £30,000 salary, Employment Allowance covers employer NIC in full</w:t>
            </w:r>
          </w:p>
          <w:p>
            <w:pPr>
              <w:spacing w:after="40"/>
            </w:pPr>
            <w:r>
              <w:rPr>
                <w:rFonts w:ascii="Consolas" w:cs="Consolas" w:eastAsia="Consolas" w:hAnsi="Consolas"/>
                <w:color w:val="E5E7EB"/>
                <w:sz w:val="19"/>
                <w:szCs w:val="19"/>
              </w:rPr>
              <w:t xml:space="preserve">ok  dividends stacking into the taper zone: £90,000 salary + £30,000 dividends -&gt; tapered PA £2,570, dividend tax £10,546.25</w:t>
            </w:r>
          </w:p>
          <w:p>
            <w:pPr>
              <w:spacing w:after="40"/>
            </w:pPr>
            <w:r>
              <w:rPr>
                <w:rFonts w:ascii="Consolas" w:cs="Consolas" w:eastAsia="Consolas" w:hAnsi="Consolas"/>
                <w:color w:val="E5E7EB"/>
                <w:sz w:val="19"/>
                <w:szCs w:val="19"/>
              </w:rPr>
              <w:t xml:space="preserve"/>
            </w:r>
          </w:p>
          <w:p>
            <w:pPr>
              <w:spacing w:after="40"/>
            </w:pPr>
            <w:r>
              <w:rPr>
                <w:rFonts w:ascii="Consolas" w:cs="Consolas" w:eastAsia="Consolas" w:hAnsi="Consolas"/>
                <w:color w:val="E5E7EB"/>
                <w:sz w:val="19"/>
                <w:szCs w:val="19"/>
              </w:rPr>
              <w:t xml:space="preserve">15 tests passed</w:t>
            </w:r>
          </w:p>
        </w:tc>
      </w:tr>
    </w:tbl>
    <w:p>
      <w:pPr>
        <w:spacing w:after="150" w:line="300"/>
      </w:pPr>
      <w:r>
        <w:rPr>
          <w:color w:val="202020"/>
          <w:sz w:val="21"/>
          <w:szCs w:val="21"/>
        </w:rPr>
        <w:t xml:space="preserve">Key worked cases, for human review:</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2800"/>
        <w:gridCol w:w="2446"/>
        <w:gridCol w:w="2400"/>
      </w:tblGrid>
      <w:tr>
        <w:trPr>
          <w:tblHeader/>
        </w:trPr>
        <w:tc>
          <w:tcPr>
            <w:tcW w:type="dxa" w:w="2100"/>
            <w:shd w:fill="1F3A5F" w:color="auto" w:val="clear"/>
            <w:tcMar>
              <w:top w:type="dxa" w:w="80"/>
              <w:left w:type="dxa" w:w="100"/>
              <w:bottom w:type="dxa" w:w="80"/>
              <w:right w:type="dxa" w:w="100"/>
            </w:tcMar>
          </w:tcPr>
          <w:p>
            <w:pPr>
              <w:jc w:val="left"/>
            </w:pPr>
            <w:r>
              <w:rPr>
                <w:b/>
                <w:bCs/>
                <w:color w:val="FFFFFF"/>
                <w:sz w:val="18"/>
                <w:szCs w:val="18"/>
              </w:rPr>
              <w:t xml:space="preserve">Case</w:t>
            </w:r>
          </w:p>
        </w:tc>
        <w:tc>
          <w:tcPr>
            <w:tcW w:type="dxa" w:w="2800"/>
            <w:shd w:fill="1F3A5F" w:color="auto" w:val="clear"/>
            <w:tcMar>
              <w:top w:type="dxa" w:w="80"/>
              <w:left w:type="dxa" w:w="100"/>
              <w:bottom w:type="dxa" w:w="80"/>
              <w:right w:type="dxa" w:w="100"/>
            </w:tcMar>
          </w:tcPr>
          <w:p>
            <w:pPr>
              <w:jc w:val="left"/>
            </w:pPr>
            <w:r>
              <w:rPr>
                <w:b/>
                <w:bCs/>
                <w:color w:val="FFFFFF"/>
                <w:sz w:val="18"/>
                <w:szCs w:val="18"/>
              </w:rPr>
              <w:t xml:space="preserve">Inputs</w:t>
            </w:r>
          </w:p>
        </w:tc>
        <w:tc>
          <w:tcPr>
            <w:tcW w:type="dxa" w:w="2446"/>
            <w:shd w:fill="1F3A5F" w:color="auto" w:val="clear"/>
            <w:tcMar>
              <w:top w:type="dxa" w:w="80"/>
              <w:left w:type="dxa" w:w="100"/>
              <w:bottom w:type="dxa" w:w="80"/>
              <w:right w:type="dxa" w:w="100"/>
            </w:tcMar>
          </w:tcPr>
          <w:p>
            <w:pPr>
              <w:jc w:val="left"/>
            </w:pPr>
            <w:r>
              <w:rPr>
                <w:b/>
                <w:bCs/>
                <w:color w:val="FFFFFF"/>
                <w:sz w:val="18"/>
                <w:szCs w:val="18"/>
              </w:rPr>
              <w:t xml:space="preserve">Expected</w:t>
            </w:r>
          </w:p>
        </w:tc>
        <w:tc>
          <w:tcPr>
            <w:tcW w:type="dxa" w:w="2400"/>
            <w:shd w:fill="1F3A5F" w:color="auto" w:val="clear"/>
            <w:tcMar>
              <w:top w:type="dxa" w:w="80"/>
              <w:left w:type="dxa" w:w="100"/>
              <w:bottom w:type="dxa" w:w="80"/>
              <w:right w:type="dxa" w:w="100"/>
            </w:tcMar>
          </w:tcPr>
          <w:p>
            <w:pPr>
              <w:jc w:val="left"/>
            </w:pPr>
            <w:r>
              <w:rPr>
                <w:b/>
                <w:bCs/>
                <w:color w:val="FFFFFF"/>
                <w:sz w:val="18"/>
                <w:szCs w:val="18"/>
              </w:rPr>
              <w:t xml:space="preserve">Result</w:t>
            </w:r>
          </w:p>
        </w:tc>
      </w:tr>
      <w:tr>
        <w:tc>
          <w:tcPr>
            <w:tcW w:type="dxa" w:w="2100"/>
            <w:tcMar>
              <w:top w:type="dxa" w:w="80"/>
              <w:left w:type="dxa" w:w="100"/>
              <w:bottom w:type="dxa" w:w="80"/>
              <w:right w:type="dxa" w:w="100"/>
            </w:tcMar>
          </w:tcPr>
          <w:p>
            <w:pPr>
              <w:jc w:val="left"/>
            </w:pPr>
            <w:r>
              <w:rPr>
                <w:b w:val="false"/>
                <w:bCs w:val="false"/>
                <w:color w:val="202020"/>
                <w:sz w:val="18"/>
                <w:szCs w:val="18"/>
              </w:rPr>
              <w:t xml:space="preserve">Dividend stacking (Rule 3.4.5)</w:t>
            </w:r>
          </w:p>
        </w:tc>
        <w:tc>
          <w:tcPr>
            <w:tcW w:type="dxa" w:w="2800"/>
            <w:tcMar>
              <w:top w:type="dxa" w:w="80"/>
              <w:left w:type="dxa" w:w="100"/>
              <w:bottom w:type="dxa" w:w="80"/>
              <w:right w:type="dxa" w:w="100"/>
            </w:tcMar>
          </w:tcPr>
          <w:p>
            <w:pPr>
              <w:jc w:val="left"/>
            </w:pPr>
            <w:r>
              <w:rPr>
                <w:b w:val="false"/>
                <w:bCs w:val="false"/>
                <w:color w:val="202020"/>
                <w:sz w:val="18"/>
                <w:szCs w:val="18"/>
              </w:rPr>
              <w:t xml:space="preserve">£12,570 salary + £40,000 dividends</w:t>
            </w:r>
          </w:p>
        </w:tc>
        <w:tc>
          <w:tcPr>
            <w:tcW w:type="dxa" w:w="2446"/>
            <w:tcMar>
              <w:top w:type="dxa" w:w="80"/>
              <w:left w:type="dxa" w:w="100"/>
              <w:bottom w:type="dxa" w:w="80"/>
              <w:right w:type="dxa" w:w="100"/>
            </w:tcMar>
          </w:tcPr>
          <w:p>
            <w:pPr>
              <w:jc w:val="left"/>
            </w:pPr>
            <w:r>
              <w:rPr>
                <w:b w:val="false"/>
                <w:bCs w:val="false"/>
                <w:color w:val="202020"/>
                <w:sz w:val="18"/>
                <w:szCs w:val="18"/>
              </w:rPr>
              <w:t xml:space="preserve">£4,821.25 dividend tax</w:t>
            </w:r>
          </w:p>
        </w:tc>
        <w:tc>
          <w:tcPr>
            <w:tcW w:type="dxa" w:w="2400"/>
            <w:tcMar>
              <w:top w:type="dxa" w:w="80"/>
              <w:left w:type="dxa" w:w="100"/>
              <w:bottom w:type="dxa" w:w="80"/>
              <w:right w:type="dxa" w:w="100"/>
            </w:tcMar>
          </w:tcPr>
          <w:p>
            <w:pPr>
              <w:jc w:val="left"/>
            </w:pPr>
            <w:r>
              <w:rPr>
                <w:b w:val="false"/>
                <w:bCs w:val="false"/>
                <w:color w:val="202020"/>
                <w:sz w:val="18"/>
                <w:szCs w:val="18"/>
              </w:rPr>
              <w:t xml:space="preserve">pass</w:t>
            </w:r>
          </w:p>
        </w:tc>
      </w:tr>
      <w:tr>
        <w:tc>
          <w:tcPr>
            <w:tcW w:type="dxa" w:w="2100"/>
            <w:shd w:fill="F2F2F2" w:color="auto" w:val="clear"/>
            <w:tcMar>
              <w:top w:type="dxa" w:w="80"/>
              <w:left w:type="dxa" w:w="100"/>
              <w:bottom w:type="dxa" w:w="80"/>
              <w:right w:type="dxa" w:w="100"/>
            </w:tcMar>
          </w:tcPr>
          <w:p>
            <w:pPr>
              <w:jc w:val="left"/>
            </w:pPr>
            <w:r>
              <w:rPr>
                <w:b w:val="false"/>
                <w:bCs w:val="false"/>
                <w:color w:val="202020"/>
                <w:sz w:val="18"/>
                <w:szCs w:val="18"/>
              </w:rPr>
              <w:t xml:space="preserve">Trading allowance, actual wins (Rule 3.4.6)</w:t>
            </w:r>
          </w:p>
        </w:tc>
        <w:tc>
          <w:tcPr>
            <w:tcW w:type="dxa" w:w="2800"/>
            <w:shd w:fill="F2F2F2" w:color="auto" w:val="clear"/>
            <w:tcMar>
              <w:top w:type="dxa" w:w="80"/>
              <w:left w:type="dxa" w:w="100"/>
              <w:bottom w:type="dxa" w:w="80"/>
              <w:right w:type="dxa" w:w="100"/>
            </w:tcMar>
          </w:tcPr>
          <w:p>
            <w:pPr>
              <w:jc w:val="left"/>
            </w:pPr>
            <w:r>
              <w:rPr>
                <w:b w:val="false"/>
                <w:bCs w:val="false"/>
                <w:color w:val="202020"/>
                <w:sz w:val="18"/>
                <w:szCs w:val="18"/>
              </w:rPr>
              <w:t xml:space="preserve">£8,000 gross, £1,500 expenses</w:t>
            </w:r>
          </w:p>
        </w:tc>
        <w:tc>
          <w:tcPr>
            <w:tcW w:type="dxa" w:w="2446"/>
            <w:shd w:fill="F2F2F2" w:color="auto" w:val="clear"/>
            <w:tcMar>
              <w:top w:type="dxa" w:w="80"/>
              <w:left w:type="dxa" w:w="100"/>
              <w:bottom w:type="dxa" w:w="80"/>
              <w:right w:type="dxa" w:w="100"/>
            </w:tcMar>
          </w:tcPr>
          <w:p>
            <w:pPr>
              <w:jc w:val="left"/>
            </w:pPr>
            <w:r>
              <w:rPr>
                <w:b w:val="false"/>
                <w:bCs w:val="false"/>
                <w:color w:val="202020"/>
                <w:sz w:val="18"/>
                <w:szCs w:val="18"/>
              </w:rPr>
              <w:t xml:space="preserve">£6,500 taxable</w:t>
            </w:r>
          </w:p>
        </w:tc>
        <w:tc>
          <w:tcPr>
            <w:tcW w:type="dxa" w:w="2400"/>
            <w:shd w:fill="F2F2F2" w:color="auto" w:val="clear"/>
            <w:tcMar>
              <w:top w:type="dxa" w:w="80"/>
              <w:left w:type="dxa" w:w="100"/>
              <w:bottom w:type="dxa" w:w="80"/>
              <w:right w:type="dxa" w:w="100"/>
            </w:tcMar>
          </w:tcPr>
          <w:p>
            <w:pPr>
              <w:jc w:val="left"/>
            </w:pPr>
            <w:r>
              <w:rPr>
                <w:b w:val="false"/>
                <w:bCs w:val="false"/>
                <w:color w:val="202020"/>
                <w:sz w:val="18"/>
                <w:szCs w:val="18"/>
              </w:rPr>
              <w:t xml:space="preserve">pass</w:t>
            </w:r>
          </w:p>
        </w:tc>
      </w:tr>
      <w:tr>
        <w:tc>
          <w:tcPr>
            <w:tcW w:type="dxa" w:w="2100"/>
            <w:tcMar>
              <w:top w:type="dxa" w:w="80"/>
              <w:left w:type="dxa" w:w="100"/>
              <w:bottom w:type="dxa" w:w="80"/>
              <w:right w:type="dxa" w:w="100"/>
            </w:tcMar>
          </w:tcPr>
          <w:p>
            <w:pPr>
              <w:jc w:val="left"/>
            </w:pPr>
            <w:r>
              <w:rPr>
                <w:b w:val="false"/>
                <w:bCs w:val="false"/>
                <w:color w:val="202020"/>
                <w:sz w:val="18"/>
                <w:szCs w:val="18"/>
              </w:rPr>
              <w:t xml:space="preserve">Class 1 NIC, sole director (Rule 3.4.7)</w:t>
            </w:r>
          </w:p>
        </w:tc>
        <w:tc>
          <w:tcPr>
            <w:tcW w:type="dxa" w:w="2800"/>
            <w:tcMar>
              <w:top w:type="dxa" w:w="80"/>
              <w:left w:type="dxa" w:w="100"/>
              <w:bottom w:type="dxa" w:w="80"/>
              <w:right w:type="dxa" w:w="100"/>
            </w:tcMar>
          </w:tcPr>
          <w:p>
            <w:pPr>
              <w:jc w:val="left"/>
            </w:pPr>
            <w:r>
              <w:rPr>
                <w:b w:val="false"/>
                <w:bCs w:val="false"/>
                <w:color w:val="202020"/>
                <w:sz w:val="18"/>
                <w:szCs w:val="18"/>
              </w:rPr>
              <w:t xml:space="preserve">£12,570 salary</w:t>
            </w:r>
          </w:p>
        </w:tc>
        <w:tc>
          <w:tcPr>
            <w:tcW w:type="dxa" w:w="2446"/>
            <w:tcMar>
              <w:top w:type="dxa" w:w="80"/>
              <w:left w:type="dxa" w:w="100"/>
              <w:bottom w:type="dxa" w:w="80"/>
              <w:right w:type="dxa" w:w="100"/>
            </w:tcMar>
          </w:tcPr>
          <w:p>
            <w:pPr>
              <w:jc w:val="left"/>
            </w:pPr>
            <w:r>
              <w:rPr>
                <w:b w:val="false"/>
                <w:bCs w:val="false"/>
                <w:color w:val="202020"/>
                <w:sz w:val="18"/>
                <w:szCs w:val="18"/>
              </w:rPr>
              <w:t xml:space="preserve">Employer NIC £1,135.50, EA blocked</w:t>
            </w:r>
          </w:p>
        </w:tc>
        <w:tc>
          <w:tcPr>
            <w:tcW w:type="dxa" w:w="2400"/>
            <w:tcMar>
              <w:top w:type="dxa" w:w="80"/>
              <w:left w:type="dxa" w:w="100"/>
              <w:bottom w:type="dxa" w:w="80"/>
              <w:right w:type="dxa" w:w="100"/>
            </w:tcMar>
          </w:tcPr>
          <w:p>
            <w:pPr>
              <w:jc w:val="left"/>
            </w:pPr>
            <w:r>
              <w:rPr>
                <w:b w:val="false"/>
                <w:bCs w:val="false"/>
                <w:color w:val="202020"/>
                <w:sz w:val="18"/>
                <w:szCs w:val="18"/>
              </w:rPr>
              <w:t xml:space="preserve">pass</w:t>
            </w:r>
          </w:p>
        </w:tc>
      </w:tr>
      <w:tr>
        <w:tc>
          <w:tcPr>
            <w:tcW w:type="dxa" w:w="2100"/>
            <w:shd w:fill="F2F2F2" w:color="auto" w:val="clear"/>
            <w:tcMar>
              <w:top w:type="dxa" w:w="80"/>
              <w:left w:type="dxa" w:w="100"/>
              <w:bottom w:type="dxa" w:w="80"/>
              <w:right w:type="dxa" w:w="100"/>
            </w:tcMar>
          </w:tcPr>
          <w:p>
            <w:pPr>
              <w:jc w:val="left"/>
            </w:pPr>
            <w:r>
              <w:rPr>
                <w:b w:val="false"/>
                <w:bCs w:val="false"/>
                <w:color w:val="202020"/>
                <w:sz w:val="18"/>
                <w:szCs w:val="18"/>
              </w:rPr>
              <w:t xml:space="preserve">Personal Allowance taper</w:t>
            </w:r>
          </w:p>
        </w:tc>
        <w:tc>
          <w:tcPr>
            <w:tcW w:type="dxa" w:w="2800"/>
            <w:shd w:fill="F2F2F2" w:color="auto" w:val="clear"/>
            <w:tcMar>
              <w:top w:type="dxa" w:w="80"/>
              <w:left w:type="dxa" w:w="100"/>
              <w:bottom w:type="dxa" w:w="80"/>
              <w:right w:type="dxa" w:w="100"/>
            </w:tcMar>
          </w:tcPr>
          <w:p>
            <w:pPr>
              <w:jc w:val="left"/>
            </w:pPr>
            <w:r>
              <w:rPr>
                <w:b w:val="false"/>
                <w:bCs w:val="false"/>
                <w:color w:val="202020"/>
                <w:sz w:val="18"/>
                <w:szCs w:val="18"/>
              </w:rPr>
              <w:t xml:space="preserve">£110,000 income</w:t>
            </w:r>
          </w:p>
        </w:tc>
        <w:tc>
          <w:tcPr>
            <w:tcW w:type="dxa" w:w="2446"/>
            <w:shd w:fill="F2F2F2" w:color="auto" w:val="clear"/>
            <w:tcMar>
              <w:top w:type="dxa" w:w="80"/>
              <w:left w:type="dxa" w:w="100"/>
              <w:bottom w:type="dxa" w:w="80"/>
              <w:right w:type="dxa" w:w="100"/>
            </w:tcMar>
          </w:tcPr>
          <w:p>
            <w:pPr>
              <w:jc w:val="left"/>
            </w:pPr>
            <w:r>
              <w:rPr>
                <w:b w:val="false"/>
                <w:bCs w:val="false"/>
                <w:color w:val="202020"/>
                <w:sz w:val="18"/>
                <w:szCs w:val="18"/>
              </w:rPr>
              <w:t xml:space="preserve">Tapered PA £7,570, tax £32,432.00</w:t>
            </w:r>
          </w:p>
        </w:tc>
        <w:tc>
          <w:tcPr>
            <w:tcW w:type="dxa" w:w="2400"/>
            <w:shd w:fill="F2F2F2" w:color="auto" w:val="clear"/>
            <w:tcMar>
              <w:top w:type="dxa" w:w="80"/>
              <w:left w:type="dxa" w:w="100"/>
              <w:bottom w:type="dxa" w:w="80"/>
              <w:right w:type="dxa" w:w="100"/>
            </w:tcMar>
          </w:tcPr>
          <w:p>
            <w:pPr>
              <w:jc w:val="left"/>
            </w:pPr>
            <w:r>
              <w:rPr>
                <w:b w:val="false"/>
                <w:bCs w:val="false"/>
                <w:color w:val="202020"/>
                <w:sz w:val="18"/>
                <w:szCs w:val="18"/>
              </w:rPr>
              <w:t xml:space="preserve">pass</w:t>
            </w:r>
          </w:p>
        </w:tc>
      </w:tr>
      <w:tr>
        <w:tc>
          <w:tcPr>
            <w:tcW w:type="dxa" w:w="2100"/>
            <w:tcMar>
              <w:top w:type="dxa" w:w="80"/>
              <w:left w:type="dxa" w:w="100"/>
              <w:bottom w:type="dxa" w:w="80"/>
              <w:right w:type="dxa" w:w="100"/>
            </w:tcMar>
          </w:tcPr>
          <w:p>
            <w:pPr>
              <w:jc w:val="left"/>
            </w:pPr>
            <w:r>
              <w:rPr>
                <w:b w:val="false"/>
                <w:bCs w:val="false"/>
                <w:color w:val="202020"/>
                <w:sz w:val="18"/>
                <w:szCs w:val="18"/>
              </w:rPr>
              <w:t xml:space="preserve">Personal Allowance fully withdrawn</w:t>
            </w:r>
          </w:p>
        </w:tc>
        <w:tc>
          <w:tcPr>
            <w:tcW w:type="dxa" w:w="2800"/>
            <w:tcMar>
              <w:top w:type="dxa" w:w="80"/>
              <w:left w:type="dxa" w:w="100"/>
              <w:bottom w:type="dxa" w:w="80"/>
              <w:right w:type="dxa" w:w="100"/>
            </w:tcMar>
          </w:tcPr>
          <w:p>
            <w:pPr>
              <w:jc w:val="left"/>
            </w:pPr>
            <w:r>
              <w:rPr>
                <w:b w:val="false"/>
                <w:bCs w:val="false"/>
                <w:color w:val="202020"/>
                <w:sz w:val="18"/>
                <w:szCs w:val="18"/>
              </w:rPr>
              <w:t xml:space="preserve">£125,140 or more</w:t>
            </w:r>
          </w:p>
        </w:tc>
        <w:tc>
          <w:tcPr>
            <w:tcW w:type="dxa" w:w="2446"/>
            <w:tcMar>
              <w:top w:type="dxa" w:w="80"/>
              <w:left w:type="dxa" w:w="100"/>
              <w:bottom w:type="dxa" w:w="80"/>
              <w:right w:type="dxa" w:w="100"/>
            </w:tcMar>
          </w:tcPr>
          <w:p>
            <w:pPr>
              <w:jc w:val="left"/>
            </w:pPr>
            <w:r>
              <w:rPr>
                <w:b w:val="false"/>
                <w:bCs w:val="false"/>
                <w:color w:val="202020"/>
                <w:sz w:val="18"/>
                <w:szCs w:val="18"/>
              </w:rPr>
              <w:t xml:space="preserve">PA £0</w:t>
            </w:r>
          </w:p>
        </w:tc>
        <w:tc>
          <w:tcPr>
            <w:tcW w:type="dxa" w:w="2400"/>
            <w:tcMar>
              <w:top w:type="dxa" w:w="80"/>
              <w:left w:type="dxa" w:w="100"/>
              <w:bottom w:type="dxa" w:w="80"/>
              <w:right w:type="dxa" w:w="100"/>
            </w:tcMar>
          </w:tcPr>
          <w:p>
            <w:pPr>
              <w:jc w:val="left"/>
            </w:pPr>
            <w:r>
              <w:rPr>
                <w:b w:val="false"/>
                <w:bCs w:val="false"/>
                <w:color w:val="202020"/>
                <w:sz w:val="18"/>
                <w:szCs w:val="18"/>
              </w:rPr>
              <w:t xml:space="preserve">pass</w:t>
            </w:r>
          </w:p>
        </w:tc>
      </w:tr>
      <w:tr>
        <w:tc>
          <w:tcPr>
            <w:tcW w:type="dxa" w:w="2100"/>
            <w:shd w:fill="F2F2F2" w:color="auto" w:val="clear"/>
            <w:tcMar>
              <w:top w:type="dxa" w:w="80"/>
              <w:left w:type="dxa" w:w="100"/>
              <w:bottom w:type="dxa" w:w="80"/>
              <w:right w:type="dxa" w:w="100"/>
            </w:tcMar>
          </w:tcPr>
          <w:p>
            <w:pPr>
              <w:jc w:val="left"/>
            </w:pPr>
            <w:r>
              <w:rPr>
                <w:b w:val="false"/>
                <w:bCs w:val="false"/>
                <w:color w:val="202020"/>
                <w:sz w:val="18"/>
                <w:szCs w:val="18"/>
              </w:rPr>
              <w:t xml:space="preserve">Trading allowance wins over actual</w:t>
            </w:r>
          </w:p>
        </w:tc>
        <w:tc>
          <w:tcPr>
            <w:tcW w:type="dxa" w:w="2800"/>
            <w:shd w:fill="F2F2F2" w:color="auto" w:val="clear"/>
            <w:tcMar>
              <w:top w:type="dxa" w:w="80"/>
              <w:left w:type="dxa" w:w="100"/>
              <w:bottom w:type="dxa" w:w="80"/>
              <w:right w:type="dxa" w:w="100"/>
            </w:tcMar>
          </w:tcPr>
          <w:p>
            <w:pPr>
              <w:jc w:val="left"/>
            </w:pPr>
            <w:r>
              <w:rPr>
                <w:b w:val="false"/>
                <w:bCs w:val="false"/>
                <w:color w:val="202020"/>
                <w:sz w:val="18"/>
                <w:szCs w:val="18"/>
              </w:rPr>
              <w:t xml:space="preserve">£5,000 gross, £200 expenses</w:t>
            </w:r>
          </w:p>
        </w:tc>
        <w:tc>
          <w:tcPr>
            <w:tcW w:type="dxa" w:w="2446"/>
            <w:shd w:fill="F2F2F2" w:color="auto" w:val="clear"/>
            <w:tcMar>
              <w:top w:type="dxa" w:w="80"/>
              <w:left w:type="dxa" w:w="100"/>
              <w:bottom w:type="dxa" w:w="80"/>
              <w:right w:type="dxa" w:w="100"/>
            </w:tcMar>
          </w:tcPr>
          <w:p>
            <w:pPr>
              <w:jc w:val="left"/>
            </w:pPr>
            <w:r>
              <w:rPr>
                <w:b w:val="false"/>
                <w:bCs w:val="false"/>
                <w:color w:val="202020"/>
                <w:sz w:val="18"/>
                <w:szCs w:val="18"/>
              </w:rPr>
              <w:t xml:space="preserve">£4,000 taxable (allowance)</w:t>
            </w:r>
          </w:p>
        </w:tc>
        <w:tc>
          <w:tcPr>
            <w:tcW w:type="dxa" w:w="2400"/>
            <w:shd w:fill="F2F2F2" w:color="auto" w:val="clear"/>
            <w:tcMar>
              <w:top w:type="dxa" w:w="80"/>
              <w:left w:type="dxa" w:w="100"/>
              <w:bottom w:type="dxa" w:w="80"/>
              <w:right w:type="dxa" w:w="100"/>
            </w:tcMar>
          </w:tcPr>
          <w:p>
            <w:pPr>
              <w:jc w:val="left"/>
            </w:pPr>
            <w:r>
              <w:rPr>
                <w:b w:val="false"/>
                <w:bCs w:val="false"/>
                <w:color w:val="202020"/>
                <w:sz w:val="18"/>
                <w:szCs w:val="18"/>
              </w:rPr>
              <w:t xml:space="preserve">pass</w:t>
            </w:r>
          </w:p>
        </w:tc>
      </w:tr>
      <w:tr>
        <w:tc>
          <w:tcPr>
            <w:tcW w:type="dxa" w:w="2100"/>
            <w:tcMar>
              <w:top w:type="dxa" w:w="80"/>
              <w:left w:type="dxa" w:w="100"/>
              <w:bottom w:type="dxa" w:w="80"/>
              <w:right w:type="dxa" w:w="100"/>
            </w:tcMar>
          </w:tcPr>
          <w:p>
            <w:pPr>
              <w:jc w:val="left"/>
            </w:pPr>
            <w:r>
              <w:rPr>
                <w:b w:val="false"/>
                <w:bCs w:val="false"/>
                <w:color w:val="202020"/>
                <w:sz w:val="18"/>
                <w:szCs w:val="18"/>
              </w:rPr>
              <w:t xml:space="preserve">Self-employed NIC</w:t>
            </w:r>
          </w:p>
        </w:tc>
        <w:tc>
          <w:tcPr>
            <w:tcW w:type="dxa" w:w="2800"/>
            <w:tcMar>
              <w:top w:type="dxa" w:w="80"/>
              <w:left w:type="dxa" w:w="100"/>
              <w:bottom w:type="dxa" w:w="80"/>
              <w:right w:type="dxa" w:w="100"/>
            </w:tcMar>
          </w:tcPr>
          <w:p>
            <w:pPr>
              <w:jc w:val="left"/>
            </w:pPr>
            <w:r>
              <w:rPr>
                <w:b w:val="false"/>
                <w:bCs w:val="false"/>
                <w:color w:val="202020"/>
                <w:sz w:val="18"/>
                <w:szCs w:val="18"/>
              </w:rPr>
              <w:t xml:space="preserve">£40,000 profit</w:t>
            </w:r>
          </w:p>
        </w:tc>
        <w:tc>
          <w:tcPr>
            <w:tcW w:type="dxa" w:w="2446"/>
            <w:tcMar>
              <w:top w:type="dxa" w:w="80"/>
              <w:left w:type="dxa" w:w="100"/>
              <w:bottom w:type="dxa" w:w="80"/>
              <w:right w:type="dxa" w:w="100"/>
            </w:tcMar>
          </w:tcPr>
          <w:p>
            <w:pPr>
              <w:jc w:val="left"/>
            </w:pPr>
            <w:r>
              <w:rPr>
                <w:b w:val="false"/>
                <w:bCs w:val="false"/>
                <w:color w:val="202020"/>
                <w:sz w:val="18"/>
                <w:szCs w:val="18"/>
              </w:rPr>
              <w:t xml:space="preserve">Class 2 £189.80, Class 4 £1,645.80</w:t>
            </w:r>
          </w:p>
        </w:tc>
        <w:tc>
          <w:tcPr>
            <w:tcW w:type="dxa" w:w="2400"/>
            <w:tcMar>
              <w:top w:type="dxa" w:w="80"/>
              <w:left w:type="dxa" w:w="100"/>
              <w:bottom w:type="dxa" w:w="80"/>
              <w:right w:type="dxa" w:w="100"/>
            </w:tcMar>
          </w:tcPr>
          <w:p>
            <w:pPr>
              <w:jc w:val="left"/>
            </w:pPr>
            <w:r>
              <w:rPr>
                <w:b w:val="false"/>
                <w:bCs w:val="false"/>
                <w:color w:val="202020"/>
                <w:sz w:val="18"/>
                <w:szCs w:val="18"/>
              </w:rPr>
              <w:t xml:space="preserve">pass</w:t>
            </w:r>
          </w:p>
        </w:tc>
      </w:tr>
      <w:tr>
        <w:tc>
          <w:tcPr>
            <w:tcW w:type="dxa" w:w="2100"/>
            <w:shd w:fill="F2F2F2" w:color="auto" w:val="clear"/>
            <w:tcMar>
              <w:top w:type="dxa" w:w="80"/>
              <w:left w:type="dxa" w:w="100"/>
              <w:bottom w:type="dxa" w:w="80"/>
              <w:right w:type="dxa" w:w="100"/>
            </w:tcMar>
          </w:tcPr>
          <w:p>
            <w:pPr>
              <w:jc w:val="left"/>
            </w:pPr>
            <w:r>
              <w:rPr>
                <w:b w:val="false"/>
                <w:bCs w:val="false"/>
                <w:color w:val="202020"/>
                <w:sz w:val="18"/>
                <w:szCs w:val="18"/>
              </w:rPr>
              <w:t xml:space="preserve">Self-employed NIC above UPL</w:t>
            </w:r>
          </w:p>
        </w:tc>
        <w:tc>
          <w:tcPr>
            <w:tcW w:type="dxa" w:w="2800"/>
            <w:shd w:fill="F2F2F2" w:color="auto" w:val="clear"/>
            <w:tcMar>
              <w:top w:type="dxa" w:w="80"/>
              <w:left w:type="dxa" w:w="100"/>
              <w:bottom w:type="dxa" w:w="80"/>
              <w:right w:type="dxa" w:w="100"/>
            </w:tcMar>
          </w:tcPr>
          <w:p>
            <w:pPr>
              <w:jc w:val="left"/>
            </w:pPr>
            <w:r>
              <w:rPr>
                <w:b w:val="false"/>
                <w:bCs w:val="false"/>
                <w:color w:val="202020"/>
                <w:sz w:val="18"/>
                <w:szCs w:val="18"/>
              </w:rPr>
              <w:t xml:space="preserve">£60,000 profit</w:t>
            </w:r>
          </w:p>
        </w:tc>
        <w:tc>
          <w:tcPr>
            <w:tcW w:type="dxa" w:w="2446"/>
            <w:shd w:fill="F2F2F2" w:color="auto" w:val="clear"/>
            <w:tcMar>
              <w:top w:type="dxa" w:w="80"/>
              <w:left w:type="dxa" w:w="100"/>
              <w:bottom w:type="dxa" w:w="80"/>
              <w:right w:type="dxa" w:w="100"/>
            </w:tcMar>
          </w:tcPr>
          <w:p>
            <w:pPr>
              <w:jc w:val="left"/>
            </w:pPr>
            <w:r>
              <w:rPr>
                <w:b w:val="false"/>
                <w:bCs w:val="false"/>
                <w:color w:val="202020"/>
                <w:sz w:val="18"/>
                <w:szCs w:val="18"/>
              </w:rPr>
              <w:t xml:space="preserve">Class 4 £2,456.60</w:t>
            </w:r>
          </w:p>
        </w:tc>
        <w:tc>
          <w:tcPr>
            <w:tcW w:type="dxa" w:w="2400"/>
            <w:shd w:fill="F2F2F2" w:color="auto" w:val="clear"/>
            <w:tcMar>
              <w:top w:type="dxa" w:w="80"/>
              <w:left w:type="dxa" w:w="100"/>
              <w:bottom w:type="dxa" w:w="80"/>
              <w:right w:type="dxa" w:w="100"/>
            </w:tcMar>
          </w:tcPr>
          <w:p>
            <w:pPr>
              <w:jc w:val="left"/>
            </w:pPr>
            <w:r>
              <w:rPr>
                <w:b w:val="false"/>
                <w:bCs w:val="false"/>
                <w:color w:val="202020"/>
                <w:sz w:val="18"/>
                <w:szCs w:val="18"/>
              </w:rPr>
              <w:t xml:space="preserve">pass</w:t>
            </w:r>
          </w:p>
        </w:tc>
      </w:tr>
      <w:tr>
        <w:tc>
          <w:tcPr>
            <w:tcW w:type="dxa" w:w="2100"/>
            <w:tcMar>
              <w:top w:type="dxa" w:w="80"/>
              <w:left w:type="dxa" w:w="100"/>
              <w:bottom w:type="dxa" w:w="80"/>
              <w:right w:type="dxa" w:w="100"/>
            </w:tcMar>
          </w:tcPr>
          <w:p>
            <w:pPr>
              <w:jc w:val="left"/>
            </w:pPr>
            <w:r>
              <w:rPr>
                <w:b w:val="false"/>
                <w:bCs w:val="false"/>
                <w:color w:val="202020"/>
                <w:sz w:val="18"/>
                <w:szCs w:val="18"/>
              </w:rPr>
              <w:t xml:space="preserve">Dividends into the taper zone</w:t>
            </w:r>
          </w:p>
        </w:tc>
        <w:tc>
          <w:tcPr>
            <w:tcW w:type="dxa" w:w="2800"/>
            <w:tcMar>
              <w:top w:type="dxa" w:w="80"/>
              <w:left w:type="dxa" w:w="100"/>
              <w:bottom w:type="dxa" w:w="80"/>
              <w:right w:type="dxa" w:w="100"/>
            </w:tcMar>
          </w:tcPr>
          <w:p>
            <w:pPr>
              <w:jc w:val="left"/>
            </w:pPr>
            <w:r>
              <w:rPr>
                <w:b w:val="false"/>
                <w:bCs w:val="false"/>
                <w:color w:val="202020"/>
                <w:sz w:val="18"/>
                <w:szCs w:val="18"/>
              </w:rPr>
              <w:t xml:space="preserve">£90,000 salary + £30,000 dividends</w:t>
            </w:r>
          </w:p>
        </w:tc>
        <w:tc>
          <w:tcPr>
            <w:tcW w:type="dxa" w:w="2446"/>
            <w:tcMar>
              <w:top w:type="dxa" w:w="80"/>
              <w:left w:type="dxa" w:w="100"/>
              <w:bottom w:type="dxa" w:w="80"/>
              <w:right w:type="dxa" w:w="100"/>
            </w:tcMar>
          </w:tcPr>
          <w:p>
            <w:pPr>
              <w:jc w:val="left"/>
            </w:pPr>
            <w:r>
              <w:rPr>
                <w:b w:val="false"/>
                <w:bCs w:val="false"/>
                <w:color w:val="202020"/>
                <w:sz w:val="18"/>
                <w:szCs w:val="18"/>
              </w:rPr>
              <w:t xml:space="preserve">Tapered PA £2,570, dividend tax £10,546.25</w:t>
            </w:r>
          </w:p>
        </w:tc>
        <w:tc>
          <w:tcPr>
            <w:tcW w:type="dxa" w:w="2400"/>
            <w:tcMar>
              <w:top w:type="dxa" w:w="80"/>
              <w:left w:type="dxa" w:w="100"/>
              <w:bottom w:type="dxa" w:w="80"/>
              <w:right w:type="dxa" w:w="100"/>
            </w:tcMar>
          </w:tcPr>
          <w:p>
            <w:pPr>
              <w:jc w:val="left"/>
            </w:pPr>
            <w:r>
              <w:rPr>
                <w:b w:val="false"/>
                <w:bCs w:val="false"/>
                <w:color w:val="202020"/>
                <w:sz w:val="18"/>
                <w:szCs w:val="18"/>
              </w:rPr>
              <w:t xml:space="preserve">pass</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8A1F2D" w:sz="4"/>
              <w:left w:val="single" w:color="8A1F2D" w:sz="4"/>
              <w:bottom w:val="single" w:color="8A1F2D" w:sz="4"/>
              <w:right w:val="single" w:color="8A1F2D" w:sz="4"/>
            </w:tcBorders>
            <w:shd w:fill="FCEEEE" w:color="auto" w:val="clear"/>
            <w:tcMar>
              <w:top w:type="dxa" w:w="140"/>
              <w:left w:type="dxa" w:w="200"/>
              <w:bottom w:type="dxa" w:w="140"/>
              <w:right w:type="dxa" w:w="200"/>
            </w:tcMar>
          </w:tcPr>
          <w:p>
            <w:pPr>
              <w:spacing w:after="60"/>
            </w:pPr>
            <w:r>
              <w:rPr>
                <w:b/>
                <w:bCs/>
                <w:color w:val="8A1F2D"/>
                <w:sz w:val="20"/>
                <w:szCs w:val="20"/>
              </w:rPr>
              <w:t xml:space="preserve">BUILD RULE 12.4</w:t>
            </w:r>
          </w:p>
          <w:p>
            <w:pPr>
              <w:spacing w:after="0"/>
            </w:pPr>
            <w:r>
              <w:rPr>
                <w:color w:val="202020"/>
                <w:sz w:val="20"/>
                <w:szCs w:val="20"/>
              </w:rPr>
              <w:t xml:space="preserve">Treat every row in this table as a permanent regression test chained onto Rule 3.4.5, Rule 3.4.6 and Rule 3.4.7. Before the 2027/28 tax year is in scope, add the savings/property rate change and the new income-stacking order as new tests alongside these, never as edits that could silently change what these existing rows expect.</w:t>
            </w:r>
          </w:p>
        </w:tc>
      </w:tr>
    </w:tbl>
    <w:p>
      <w:pPr>
        <w:pStyle w:val="Heading1"/>
        <w:spacing w:after="200" w:before="420"/>
      </w:pPr>
      <w:r>
        <w:t xml:space="preserve">13. Verification Register</w:t>
      </w:r>
    </w:p>
    <w:p>
      <w:pPr>
        <w:spacing w:after="150" w:line="300"/>
      </w:pPr>
      <w:r>
        <w:rPr>
          <w:color w:val="202020"/>
          <w:sz w:val="21"/>
          <w:szCs w:val="21"/>
        </w:rPr>
        <w:t xml:space="preserve">Section 3.9 lists five open items specific to the compliance rulebook. This register is broader: it covers every point in Sections 3, 7 and 12 that rests on something which could not be independently confirmed from public guidance alone during preparation of this document, cross-checked against a second, independently-produced PRD for a very similar product (the "TaxFlow UK v4.1" document) that used the same close-it-before-you-build-it discipline. Close each item with the stated method before the relevant module is built, not after. Priority: H blocks build or launch, M is needed before beta, L is hygiene.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00"/>
        <w:gridCol w:w="900"/>
        <w:gridCol w:w="4200"/>
        <w:gridCol w:w="3546"/>
      </w:tblGrid>
      <w:tr>
        <w:trPr>
          <w:tblHeader/>
        </w:trPr>
        <w:tc>
          <w:tcPr>
            <w:tcW w:type="dxa" w:w="1100"/>
            <w:shd w:fill="1F3A5F" w:color="auto" w:val="clear"/>
            <w:tcMar>
              <w:top w:type="dxa" w:w="80"/>
              <w:left w:type="dxa" w:w="100"/>
              <w:bottom w:type="dxa" w:w="80"/>
              <w:right w:type="dxa" w:w="100"/>
            </w:tcMar>
          </w:tcPr>
          <w:p>
            <w:pPr>
              <w:jc w:val="left"/>
            </w:pPr>
            <w:r>
              <w:rPr>
                <w:b/>
                <w:bCs/>
                <w:color w:val="FFFFFF"/>
                <w:sz w:val="18"/>
                <w:szCs w:val="18"/>
              </w:rPr>
              <w:t xml:space="preserve">ID</w:t>
            </w:r>
          </w:p>
        </w:tc>
        <w:tc>
          <w:tcPr>
            <w:tcW w:type="dxa" w:w="900"/>
            <w:shd w:fill="1F3A5F" w:color="auto" w:val="clear"/>
            <w:tcMar>
              <w:top w:type="dxa" w:w="80"/>
              <w:left w:type="dxa" w:w="100"/>
              <w:bottom w:type="dxa" w:w="80"/>
              <w:right w:type="dxa" w:w="100"/>
            </w:tcMar>
          </w:tcPr>
          <w:p>
            <w:pPr>
              <w:jc w:val="left"/>
            </w:pPr>
            <w:r>
              <w:rPr>
                <w:b/>
                <w:bCs/>
                <w:color w:val="FFFFFF"/>
                <w:sz w:val="18"/>
                <w:szCs w:val="18"/>
              </w:rPr>
              <w:t xml:space="preserve">Priority</w:t>
            </w:r>
          </w:p>
        </w:tc>
        <w:tc>
          <w:tcPr>
            <w:tcW w:type="dxa" w:w="4200"/>
            <w:shd w:fill="1F3A5F" w:color="auto" w:val="clear"/>
            <w:tcMar>
              <w:top w:type="dxa" w:w="80"/>
              <w:left w:type="dxa" w:w="100"/>
              <w:bottom w:type="dxa" w:w="80"/>
              <w:right w:type="dxa" w:w="100"/>
            </w:tcMar>
          </w:tcPr>
          <w:p>
            <w:pPr>
              <w:jc w:val="left"/>
            </w:pPr>
            <w:r>
              <w:rPr>
                <w:b/>
                <w:bCs/>
                <w:color w:val="FFFFFF"/>
                <w:sz w:val="18"/>
                <w:szCs w:val="18"/>
              </w:rPr>
              <w:t xml:space="preserve">Item</w:t>
            </w:r>
          </w:p>
        </w:tc>
        <w:tc>
          <w:tcPr>
            <w:tcW w:type="dxa" w:w="3546"/>
            <w:shd w:fill="1F3A5F" w:color="auto" w:val="clear"/>
            <w:tcMar>
              <w:top w:type="dxa" w:w="80"/>
              <w:left w:type="dxa" w:w="100"/>
              <w:bottom w:type="dxa" w:w="80"/>
              <w:right w:type="dxa" w:w="100"/>
            </w:tcMar>
          </w:tcPr>
          <w:p>
            <w:pPr>
              <w:jc w:val="left"/>
            </w:pPr>
            <w:r>
              <w:rPr>
                <w:b/>
                <w:bCs/>
                <w:color w:val="FFFFFF"/>
                <w:sz w:val="18"/>
                <w:szCs w:val="18"/>
              </w:rPr>
              <w:t xml:space="preserve">Close it by</w:t>
            </w:r>
          </w:p>
        </w:tc>
      </w:tr>
      <w:tr>
        <w:tc>
          <w:tcPr>
            <w:tcW w:type="dxa" w:w="1100"/>
            <w:tcMar>
              <w:top w:type="dxa" w:w="80"/>
              <w:left w:type="dxa" w:w="100"/>
              <w:bottom w:type="dxa" w:w="80"/>
              <w:right w:type="dxa" w:w="100"/>
            </w:tcMar>
          </w:tcPr>
          <w:p>
            <w:pPr>
              <w:jc w:val="left"/>
            </w:pPr>
            <w:r>
              <w:rPr>
                <w:b w:val="false"/>
                <w:bCs w:val="false"/>
                <w:color w:val="202020"/>
                <w:sz w:val="18"/>
                <w:szCs w:val="18"/>
              </w:rPr>
              <w:t xml:space="preserve">VR-01</w:t>
            </w:r>
          </w:p>
        </w:tc>
        <w:tc>
          <w:tcPr>
            <w:tcW w:type="dxa" w:w="900"/>
            <w:tcMar>
              <w:top w:type="dxa" w:w="80"/>
              <w:left w:type="dxa" w:w="100"/>
              <w:bottom w:type="dxa" w:w="80"/>
              <w:right w:type="dxa" w:w="100"/>
            </w:tcMar>
          </w:tcPr>
          <w:p>
            <w:pPr>
              <w:jc w:val="left"/>
            </w:pPr>
            <w:r>
              <w:rPr>
                <w:b w:val="false"/>
                <w:bCs w:val="false"/>
                <w:color w:val="202020"/>
                <w:sz w:val="18"/>
                <w:szCs w:val="18"/>
              </w:rPr>
              <w:t xml:space="preserve">H</w:t>
            </w:r>
          </w:p>
        </w:tc>
        <w:tc>
          <w:tcPr>
            <w:tcW w:type="dxa" w:w="4200"/>
            <w:tcMar>
              <w:top w:type="dxa" w:w="80"/>
              <w:left w:type="dxa" w:w="100"/>
              <w:bottom w:type="dxa" w:w="80"/>
              <w:right w:type="dxa" w:w="100"/>
            </w:tcMar>
          </w:tcPr>
          <w:p>
            <w:pPr>
              <w:jc w:val="left"/>
            </w:pPr>
            <w:r>
              <w:rPr>
                <w:b w:val="false"/>
                <w:bCs w:val="false"/>
                <w:color w:val="202020"/>
                <w:sz w:val="18"/>
                <w:szCs w:val="18"/>
              </w:rPr>
              <w:t xml:space="preserve">IRmark element location, type attribute, namespaces, canonicalisation scope, and test vectors (Section 7.3)</w:t>
            </w:r>
          </w:p>
        </w:tc>
        <w:tc>
          <w:tcPr>
            <w:tcW w:type="dxa" w:w="3546"/>
            <w:tcMar>
              <w:top w:type="dxa" w:w="80"/>
              <w:left w:type="dxa" w:w="100"/>
              <w:bottom w:type="dxa" w:w="80"/>
              <w:right w:type="dxa" w:w="100"/>
            </w:tcMar>
          </w:tcPr>
          <w:p>
            <w:pPr>
              <w:jc w:val="left"/>
            </w:pPr>
            <w:r>
              <w:rPr>
                <w:b w:val="false"/>
                <w:bCs w:val="false"/>
                <w:color w:val="202020"/>
                <w:sz w:val="18"/>
                <w:szCs w:val="18"/>
              </w:rPr>
              <w:t xml:space="preserve">HMRC's IRmark specification document and sample test vectors, confirmed against the Local Test Service</w:t>
            </w:r>
          </w:p>
        </w:tc>
      </w:tr>
      <w:tr>
        <w:tc>
          <w:tcPr>
            <w:tcW w:type="dxa" w:w="1100"/>
            <w:shd w:fill="F2F2F2" w:color="auto" w:val="clear"/>
            <w:tcMar>
              <w:top w:type="dxa" w:w="80"/>
              <w:left w:type="dxa" w:w="100"/>
              <w:bottom w:type="dxa" w:w="80"/>
              <w:right w:type="dxa" w:w="100"/>
            </w:tcMar>
          </w:tcPr>
          <w:p>
            <w:pPr>
              <w:jc w:val="left"/>
            </w:pPr>
            <w:r>
              <w:rPr>
                <w:b w:val="false"/>
                <w:bCs w:val="false"/>
                <w:color w:val="202020"/>
                <w:sz w:val="18"/>
                <w:szCs w:val="18"/>
              </w:rPr>
              <w:t xml:space="preserve">VR-02</w:t>
            </w:r>
          </w:p>
        </w:tc>
        <w:tc>
          <w:tcPr>
            <w:tcW w:type="dxa" w:w="900"/>
            <w:shd w:fill="F2F2F2" w:color="auto" w:val="clear"/>
            <w:tcMar>
              <w:top w:type="dxa" w:w="80"/>
              <w:left w:type="dxa" w:w="100"/>
              <w:bottom w:type="dxa" w:w="80"/>
              <w:right w:type="dxa" w:w="100"/>
            </w:tcMar>
          </w:tcPr>
          <w:p>
            <w:pPr>
              <w:jc w:val="left"/>
            </w:pPr>
            <w:r>
              <w:rPr>
                <w:b w:val="false"/>
                <w:bCs w:val="false"/>
                <w:color w:val="202020"/>
                <w:sz w:val="18"/>
                <w:szCs w:val="18"/>
              </w:rPr>
              <w:t xml:space="preserve">H</w:t>
            </w:r>
          </w:p>
        </w:tc>
        <w:tc>
          <w:tcPr>
            <w:tcW w:type="dxa" w:w="4200"/>
            <w:shd w:fill="F2F2F2" w:color="auto" w:val="clear"/>
            <w:tcMar>
              <w:top w:type="dxa" w:w="80"/>
              <w:left w:type="dxa" w:w="100"/>
              <w:bottom w:type="dxa" w:w="80"/>
              <w:right w:type="dxa" w:w="100"/>
            </w:tcMar>
          </w:tcPr>
          <w:p>
            <w:pPr>
              <w:jc w:val="left"/>
            </w:pPr>
            <w:r>
              <w:rPr>
                <w:b w:val="false"/>
                <w:bCs w:val="false"/>
                <w:color w:val="202020"/>
                <w:sz w:val="18"/>
                <w:szCs w:val="18"/>
              </w:rPr>
              <w:t xml:space="preserve">Exact iXBRL tags and prefixes, current FRC taxonomy entry points, current Companies House accounts TIS version (confirm 5.7 is still current, it has changed before, Rule 3.6.5, Rule 7.2)</w:t>
            </w:r>
          </w:p>
        </w:tc>
        <w:tc>
          <w:tcPr>
            <w:tcW w:type="dxa" w:w="3546"/>
            <w:shd w:fill="F2F2F2" w:color="auto" w:val="clear"/>
            <w:tcMar>
              <w:top w:type="dxa" w:w="80"/>
              <w:left w:type="dxa" w:w="100"/>
              <w:bottom w:type="dxa" w:w="80"/>
              <w:right w:type="dxa" w:w="100"/>
            </w:tcMar>
          </w:tcPr>
          <w:p>
            <w:pPr>
              <w:jc w:val="left"/>
            </w:pPr>
            <w:r>
              <w:rPr>
                <w:b w:val="false"/>
                <w:bCs w:val="false"/>
                <w:color w:val="202020"/>
                <w:sz w:val="18"/>
                <w:szCs w:val="18"/>
              </w:rPr>
              <w:t xml:space="preserve">Companies House TIS document and test validator, FRC taxonomy files, an XBRL tool such as Arelle</w:t>
            </w:r>
          </w:p>
        </w:tc>
      </w:tr>
      <w:tr>
        <w:tc>
          <w:tcPr>
            <w:tcW w:type="dxa" w:w="1100"/>
            <w:tcMar>
              <w:top w:type="dxa" w:w="80"/>
              <w:left w:type="dxa" w:w="100"/>
              <w:bottom w:type="dxa" w:w="80"/>
              <w:right w:type="dxa" w:w="100"/>
            </w:tcMar>
          </w:tcPr>
          <w:p>
            <w:pPr>
              <w:jc w:val="left"/>
            </w:pPr>
            <w:r>
              <w:rPr>
                <w:b w:val="false"/>
                <w:bCs w:val="false"/>
                <w:color w:val="202020"/>
                <w:sz w:val="18"/>
                <w:szCs w:val="18"/>
              </w:rPr>
              <w:t xml:space="preserve">VR-03</w:t>
            </w:r>
          </w:p>
        </w:tc>
        <w:tc>
          <w:tcPr>
            <w:tcW w:type="dxa" w:w="900"/>
            <w:tcMar>
              <w:top w:type="dxa" w:w="80"/>
              <w:left w:type="dxa" w:w="100"/>
              <w:bottom w:type="dxa" w:w="80"/>
              <w:right w:type="dxa" w:w="100"/>
            </w:tcMar>
          </w:tcPr>
          <w:p>
            <w:pPr>
              <w:jc w:val="left"/>
            </w:pPr>
            <w:r>
              <w:rPr>
                <w:b w:val="false"/>
                <w:bCs w:val="false"/>
                <w:color w:val="202020"/>
                <w:sz w:val="18"/>
                <w:szCs w:val="18"/>
              </w:rPr>
              <w:t xml:space="preserve">H</w:t>
            </w:r>
          </w:p>
        </w:tc>
        <w:tc>
          <w:tcPr>
            <w:tcW w:type="dxa" w:w="4200"/>
            <w:tcMar>
              <w:top w:type="dxa" w:w="80"/>
              <w:left w:type="dxa" w:w="100"/>
              <w:bottom w:type="dxa" w:w="80"/>
              <w:right w:type="dxa" w:w="100"/>
            </w:tcMar>
          </w:tcPr>
          <w:p>
            <w:pPr>
              <w:jc w:val="left"/>
            </w:pPr>
            <w:r>
              <w:rPr>
                <w:b w:val="false"/>
                <w:bCs w:val="false"/>
                <w:color w:val="202020"/>
                <w:sz w:val="18"/>
                <w:szCs w:val="18"/>
              </w:rPr>
              <w:t xml:space="preserve">CT600 and CT600A box-by-box mappings for every figure this platform calculates</w:t>
            </w:r>
          </w:p>
        </w:tc>
        <w:tc>
          <w:tcPr>
            <w:tcW w:type="dxa" w:w="3546"/>
            <w:tcMar>
              <w:top w:type="dxa" w:w="80"/>
              <w:left w:type="dxa" w:w="100"/>
              <w:bottom w:type="dxa" w:w="80"/>
              <w:right w:type="dxa" w:w="100"/>
            </w:tcMar>
          </w:tcPr>
          <w:p>
            <w:pPr>
              <w:jc w:val="left"/>
            </w:pPr>
            <w:r>
              <w:rPr>
                <w:b w:val="false"/>
                <w:bCs w:val="false"/>
                <w:color w:val="202020"/>
                <w:sz w:val="18"/>
                <w:szCs w:val="18"/>
              </w:rPr>
              <w:t xml:space="preserve">HMRC's CT600 technical pack and RIM artefacts, never hand-copied box numbers from a secondary source</w:t>
            </w:r>
          </w:p>
        </w:tc>
      </w:tr>
      <w:tr>
        <w:tc>
          <w:tcPr>
            <w:tcW w:type="dxa" w:w="1100"/>
            <w:shd w:fill="F2F2F2" w:color="auto" w:val="clear"/>
            <w:tcMar>
              <w:top w:type="dxa" w:w="80"/>
              <w:left w:type="dxa" w:w="100"/>
              <w:bottom w:type="dxa" w:w="80"/>
              <w:right w:type="dxa" w:w="100"/>
            </w:tcMar>
          </w:tcPr>
          <w:p>
            <w:pPr>
              <w:jc w:val="left"/>
            </w:pPr>
            <w:r>
              <w:rPr>
                <w:b w:val="false"/>
                <w:bCs w:val="false"/>
                <w:color w:val="202020"/>
                <w:sz w:val="18"/>
                <w:szCs w:val="18"/>
              </w:rPr>
              <w:t xml:space="preserve">VR-04</w:t>
            </w:r>
          </w:p>
        </w:tc>
        <w:tc>
          <w:tcPr>
            <w:tcW w:type="dxa" w:w="900"/>
            <w:shd w:fill="F2F2F2" w:color="auto" w:val="clear"/>
            <w:tcMar>
              <w:top w:type="dxa" w:w="80"/>
              <w:left w:type="dxa" w:w="100"/>
              <w:bottom w:type="dxa" w:w="80"/>
              <w:right w:type="dxa" w:w="100"/>
            </w:tcMar>
          </w:tcPr>
          <w:p>
            <w:pPr>
              <w:jc w:val="left"/>
            </w:pPr>
            <w:r>
              <w:rPr>
                <w:b w:val="false"/>
                <w:bCs w:val="false"/>
                <w:color w:val="202020"/>
                <w:sz w:val="18"/>
                <w:szCs w:val="18"/>
              </w:rPr>
              <w:t xml:space="preserve">H</w:t>
            </w:r>
          </w:p>
        </w:tc>
        <w:tc>
          <w:tcPr>
            <w:tcW w:type="dxa" w:w="4200"/>
            <w:shd w:fill="F2F2F2" w:color="auto" w:val="clear"/>
            <w:tcMar>
              <w:top w:type="dxa" w:w="80"/>
              <w:left w:type="dxa" w:w="100"/>
              <w:bottom w:type="dxa" w:w="80"/>
              <w:right w:type="dxa" w:w="100"/>
            </w:tcMar>
          </w:tcPr>
          <w:p>
            <w:pPr>
              <w:jc w:val="left"/>
            </w:pPr>
            <w:r>
              <w:rPr>
                <w:b w:val="false"/>
                <w:bCs w:val="false"/>
                <w:color w:val="202020"/>
                <w:sz w:val="18"/>
                <w:szCs w:val="18"/>
              </w:rPr>
              <w:t xml:space="preserve">Associated company definition: control, attribution rules, and the passive-holding-company exclusion already flagged in Rule 3.1.4</w:t>
            </w:r>
          </w:p>
        </w:tc>
        <w:tc>
          <w:tcPr>
            <w:tcW w:type="dxa" w:w="3546"/>
            <w:shd w:fill="F2F2F2" w:color="auto" w:val="clear"/>
            <w:tcMar>
              <w:top w:type="dxa" w:w="80"/>
              <w:left w:type="dxa" w:w="100"/>
              <w:bottom w:type="dxa" w:w="80"/>
              <w:right w:type="dxa" w:w="100"/>
            </w:tcMar>
          </w:tcPr>
          <w:p>
            <w:pPr>
              <w:jc w:val="left"/>
            </w:pPr>
            <w:r>
              <w:rPr>
                <w:b w:val="false"/>
                <w:bCs w:val="false"/>
                <w:color w:val="202020"/>
                <w:sz w:val="18"/>
                <w:szCs w:val="18"/>
              </w:rPr>
              <w:t xml:space="preserve">Legislation text and HMRC's Company Taxation Manual, reviewed by a tax professional</w:t>
            </w:r>
          </w:p>
        </w:tc>
      </w:tr>
      <w:tr>
        <w:tc>
          <w:tcPr>
            <w:tcW w:type="dxa" w:w="1100"/>
            <w:tcMar>
              <w:top w:type="dxa" w:w="80"/>
              <w:left w:type="dxa" w:w="100"/>
              <w:bottom w:type="dxa" w:w="80"/>
              <w:right w:type="dxa" w:w="100"/>
            </w:tcMar>
          </w:tcPr>
          <w:p>
            <w:pPr>
              <w:jc w:val="left"/>
            </w:pPr>
            <w:r>
              <w:rPr>
                <w:b w:val="false"/>
                <w:bCs w:val="false"/>
                <w:color w:val="202020"/>
                <w:sz w:val="18"/>
                <w:szCs w:val="18"/>
              </w:rPr>
              <w:t xml:space="preserve">VR-05</w:t>
            </w:r>
          </w:p>
        </w:tc>
        <w:tc>
          <w:tcPr>
            <w:tcW w:type="dxa" w:w="900"/>
            <w:tcMar>
              <w:top w:type="dxa" w:w="80"/>
              <w:left w:type="dxa" w:w="100"/>
              <w:bottom w:type="dxa" w:w="80"/>
              <w:right w:type="dxa" w:w="100"/>
            </w:tcMar>
          </w:tcPr>
          <w:p>
            <w:pPr>
              <w:jc w:val="left"/>
            </w:pPr>
            <w:r>
              <w:rPr>
                <w:b w:val="false"/>
                <w:bCs w:val="false"/>
                <w:color w:val="202020"/>
                <w:sz w:val="18"/>
                <w:szCs w:val="18"/>
              </w:rPr>
              <w:t xml:space="preserve">H</w:t>
            </w:r>
          </w:p>
        </w:tc>
        <w:tc>
          <w:tcPr>
            <w:tcW w:type="dxa" w:w="4200"/>
            <w:tcMar>
              <w:top w:type="dxa" w:w="80"/>
              <w:left w:type="dxa" w:w="100"/>
              <w:bottom w:type="dxa" w:w="80"/>
              <w:right w:type="dxa" w:w="100"/>
            </w:tcMar>
          </w:tcPr>
          <w:p>
            <w:pPr>
              <w:jc w:val="left"/>
            </w:pPr>
            <w:r>
              <w:rPr>
                <w:b w:val="false"/>
                <w:bCs w:val="false"/>
                <w:color w:val="202020"/>
                <w:sz w:val="18"/>
                <w:szCs w:val="18"/>
              </w:rPr>
              <w:t xml:space="preserve">Short-period scaling convention for the marginal relief limits and AIA, days over 365/366 or months over 12 (Section 12.2, daysInYearBasis)</w:t>
            </w:r>
          </w:p>
        </w:tc>
        <w:tc>
          <w:tcPr>
            <w:tcW w:type="dxa" w:w="3546"/>
            <w:tcMar>
              <w:top w:type="dxa" w:w="80"/>
              <w:left w:type="dxa" w:w="100"/>
              <w:bottom w:type="dxa" w:w="80"/>
              <w:right w:type="dxa" w:w="100"/>
            </w:tcMar>
          </w:tcPr>
          <w:p>
            <w:pPr>
              <w:jc w:val="left"/>
            </w:pPr>
            <w:r>
              <w:rPr>
                <w:b w:val="false"/>
                <w:bCs w:val="false"/>
                <w:color w:val="202020"/>
                <w:sz w:val="18"/>
                <w:szCs w:val="18"/>
              </w:rPr>
              <w:t xml:space="preserve">HMRC guidance, confirmed by a tax professional before the engine in Section 12 is treated as final</w:t>
            </w:r>
          </w:p>
        </w:tc>
      </w:tr>
      <w:tr>
        <w:tc>
          <w:tcPr>
            <w:tcW w:type="dxa" w:w="1100"/>
            <w:shd w:fill="F2F2F2" w:color="auto" w:val="clear"/>
            <w:tcMar>
              <w:top w:type="dxa" w:w="80"/>
              <w:left w:type="dxa" w:w="100"/>
              <w:bottom w:type="dxa" w:w="80"/>
              <w:right w:type="dxa" w:w="100"/>
            </w:tcMar>
          </w:tcPr>
          <w:p>
            <w:pPr>
              <w:jc w:val="left"/>
            </w:pPr>
            <w:r>
              <w:rPr>
                <w:b w:val="false"/>
                <w:bCs w:val="false"/>
                <w:color w:val="202020"/>
                <w:sz w:val="18"/>
                <w:szCs w:val="18"/>
              </w:rPr>
              <w:t xml:space="preserve">VR-06</w:t>
            </w:r>
          </w:p>
        </w:tc>
        <w:tc>
          <w:tcPr>
            <w:tcW w:type="dxa" w:w="900"/>
            <w:shd w:fill="F2F2F2" w:color="auto" w:val="clear"/>
            <w:tcMar>
              <w:top w:type="dxa" w:w="80"/>
              <w:left w:type="dxa" w:w="100"/>
              <w:bottom w:type="dxa" w:w="80"/>
              <w:right w:type="dxa" w:w="100"/>
            </w:tcMar>
          </w:tcPr>
          <w:p>
            <w:pPr>
              <w:jc w:val="left"/>
            </w:pPr>
            <w:r>
              <w:rPr>
                <w:b w:val="false"/>
                <w:bCs w:val="false"/>
                <w:color w:val="202020"/>
                <w:sz w:val="18"/>
                <w:szCs w:val="18"/>
              </w:rPr>
              <w:t xml:space="preserve">H</w:t>
            </w:r>
          </w:p>
        </w:tc>
        <w:tc>
          <w:tcPr>
            <w:tcW w:type="dxa" w:w="4200"/>
            <w:shd w:fill="F2F2F2" w:color="auto" w:val="clear"/>
            <w:tcMar>
              <w:top w:type="dxa" w:w="80"/>
              <w:left w:type="dxa" w:w="100"/>
              <w:bottom w:type="dxa" w:w="80"/>
              <w:right w:type="dxa" w:w="100"/>
            </w:tcMar>
          </w:tcPr>
          <w:p>
            <w:pPr>
              <w:jc w:val="left"/>
            </w:pPr>
            <w:r>
              <w:rPr>
                <w:b w:val="false"/>
                <w:bCs w:val="false"/>
                <w:color w:val="202020"/>
                <w:sz w:val="18"/>
                <w:szCs w:val="18"/>
              </w:rPr>
              <w:t xml:space="preserve">s455 repayment matching and allocation order, the full bed-and-breakfasting and repay-and-redraw rules, and any small employee-loan exception (Rule 3.1.13)</w:t>
            </w:r>
          </w:p>
        </w:tc>
        <w:tc>
          <w:tcPr>
            <w:tcW w:type="dxa" w:w="3546"/>
            <w:shd w:fill="F2F2F2" w:color="auto" w:val="clear"/>
            <w:tcMar>
              <w:top w:type="dxa" w:w="80"/>
              <w:left w:type="dxa" w:w="100"/>
              <w:bottom w:type="dxa" w:w="80"/>
              <w:right w:type="dxa" w:w="100"/>
            </w:tcMar>
          </w:tcPr>
          <w:p>
            <w:pPr>
              <w:jc w:val="left"/>
            </w:pPr>
            <w:r>
              <w:rPr>
                <w:b w:val="false"/>
                <w:bCs w:val="false"/>
                <w:color w:val="202020"/>
                <w:sz w:val="18"/>
                <w:szCs w:val="18"/>
              </w:rPr>
              <w:t xml:space="preserve">Legislation and HMRC's Company Taxation Manual, reviewed by a tax professional</w:t>
            </w:r>
          </w:p>
        </w:tc>
      </w:tr>
      <w:tr>
        <w:tc>
          <w:tcPr>
            <w:tcW w:type="dxa" w:w="1100"/>
            <w:tcMar>
              <w:top w:type="dxa" w:w="80"/>
              <w:left w:type="dxa" w:w="100"/>
              <w:bottom w:type="dxa" w:w="80"/>
              <w:right w:type="dxa" w:w="100"/>
            </w:tcMar>
          </w:tcPr>
          <w:p>
            <w:pPr>
              <w:jc w:val="left"/>
            </w:pPr>
            <w:r>
              <w:rPr>
                <w:b w:val="false"/>
                <w:bCs w:val="false"/>
                <w:color w:val="202020"/>
                <w:sz w:val="18"/>
                <w:szCs w:val="18"/>
              </w:rPr>
              <w:t xml:space="preserve">VR-07</w:t>
            </w:r>
          </w:p>
        </w:tc>
        <w:tc>
          <w:tcPr>
            <w:tcW w:type="dxa" w:w="900"/>
            <w:tcMar>
              <w:top w:type="dxa" w:w="80"/>
              <w:left w:type="dxa" w:w="100"/>
              <w:bottom w:type="dxa" w:w="80"/>
              <w:right w:type="dxa" w:w="100"/>
            </w:tcMar>
          </w:tcPr>
          <w:p>
            <w:pPr>
              <w:jc w:val="left"/>
            </w:pPr>
            <w:r>
              <w:rPr>
                <w:b w:val="false"/>
                <w:bCs w:val="false"/>
                <w:color w:val="202020"/>
                <w:sz w:val="18"/>
                <w:szCs w:val="18"/>
              </w:rPr>
              <w:t xml:space="preserve">M</w:t>
            </w:r>
          </w:p>
        </w:tc>
        <w:tc>
          <w:tcPr>
            <w:tcW w:type="dxa" w:w="4200"/>
            <w:tcMar>
              <w:top w:type="dxa" w:w="80"/>
              <w:left w:type="dxa" w:w="100"/>
              <w:bottom w:type="dxa" w:w="80"/>
              <w:right w:type="dxa" w:w="100"/>
            </w:tcMar>
          </w:tcPr>
          <w:p>
            <w:pPr>
              <w:jc w:val="left"/>
            </w:pPr>
            <w:r>
              <w:rPr>
                <w:b w:val="false"/>
                <w:bCs w:val="false"/>
                <w:color w:val="202020"/>
                <w:sz w:val="18"/>
                <w:szCs w:val="18"/>
              </w:rPr>
              <w:t xml:space="preserve">Payment due date convention for a month-end accounting reference date (for example a 30 June year end, where "9 months and 1 day" needs a precise rule, Section 12.2, ctPaymentDueDate)</w:t>
            </w:r>
          </w:p>
        </w:tc>
        <w:tc>
          <w:tcPr>
            <w:tcW w:type="dxa" w:w="3546"/>
            <w:tcMar>
              <w:top w:type="dxa" w:w="80"/>
              <w:left w:type="dxa" w:w="100"/>
              <w:bottom w:type="dxa" w:w="80"/>
              <w:right w:type="dxa" w:w="100"/>
            </w:tcMar>
          </w:tcPr>
          <w:p>
            <w:pPr>
              <w:jc w:val="left"/>
            </w:pPr>
            <w:r>
              <w:rPr>
                <w:b w:val="false"/>
                <w:bCs w:val="false"/>
                <w:color w:val="202020"/>
                <w:sz w:val="18"/>
                <w:szCs w:val="18"/>
              </w:rPr>
              <w:t xml:space="preserve">HMRC payment guidance, confirmed with worked examples for at least one 28/29/30/31-day month-end case each</w:t>
            </w:r>
          </w:p>
        </w:tc>
      </w:tr>
      <w:tr>
        <w:tc>
          <w:tcPr>
            <w:tcW w:type="dxa" w:w="1100"/>
            <w:shd w:fill="F2F2F2" w:color="auto" w:val="clear"/>
            <w:tcMar>
              <w:top w:type="dxa" w:w="80"/>
              <w:left w:type="dxa" w:w="100"/>
              <w:bottom w:type="dxa" w:w="80"/>
              <w:right w:type="dxa" w:w="100"/>
            </w:tcMar>
          </w:tcPr>
          <w:p>
            <w:pPr>
              <w:jc w:val="left"/>
            </w:pPr>
            <w:r>
              <w:rPr>
                <w:b w:val="false"/>
                <w:bCs w:val="false"/>
                <w:color w:val="202020"/>
                <w:sz w:val="18"/>
                <w:szCs w:val="18"/>
              </w:rPr>
              <w:t xml:space="preserve">VR-08</w:t>
            </w:r>
          </w:p>
        </w:tc>
        <w:tc>
          <w:tcPr>
            <w:tcW w:type="dxa" w:w="900"/>
            <w:shd w:fill="F2F2F2" w:color="auto" w:val="clear"/>
            <w:tcMar>
              <w:top w:type="dxa" w:w="80"/>
              <w:left w:type="dxa" w:w="100"/>
              <w:bottom w:type="dxa" w:w="80"/>
              <w:right w:type="dxa" w:w="100"/>
            </w:tcMar>
          </w:tcPr>
          <w:p>
            <w:pPr>
              <w:jc w:val="left"/>
            </w:pPr>
            <w:r>
              <w:rPr>
                <w:b w:val="false"/>
                <w:bCs w:val="false"/>
                <w:color w:val="202020"/>
                <w:sz w:val="18"/>
                <w:szCs w:val="18"/>
              </w:rPr>
              <w:t xml:space="preserve">H</w:t>
            </w:r>
          </w:p>
        </w:tc>
        <w:tc>
          <w:tcPr>
            <w:tcW w:type="dxa" w:w="4200"/>
            <w:shd w:fill="F2F2F2" w:color="auto" w:val="clear"/>
            <w:tcMar>
              <w:top w:type="dxa" w:w="80"/>
              <w:left w:type="dxa" w:w="100"/>
              <w:bottom w:type="dxa" w:w="80"/>
              <w:right w:type="dxa" w:w="100"/>
            </w:tcMar>
          </w:tcPr>
          <w:p>
            <w:pPr>
              <w:jc w:val="left"/>
            </w:pPr>
            <w:r>
              <w:rPr>
                <w:b w:val="false"/>
                <w:bCs w:val="false"/>
                <w:color w:val="202020"/>
                <w:sz w:val="18"/>
                <w:szCs w:val="18"/>
              </w:rPr>
              <w:t xml:space="preserve">Hybrid WDA method for a period straddling 1 April 2026, full expensing interaction, car CO2 band thresholds, and FYA expenditure-date rules (Rule 3.1.9a, Section 12.2, mainPoolWdaRatePct)</w:t>
            </w:r>
          </w:p>
        </w:tc>
        <w:tc>
          <w:tcPr>
            <w:tcW w:type="dxa" w:w="3546"/>
            <w:shd w:fill="F2F2F2" w:color="auto" w:val="clear"/>
            <w:tcMar>
              <w:top w:type="dxa" w:w="80"/>
              <w:left w:type="dxa" w:w="100"/>
              <w:bottom w:type="dxa" w:w="80"/>
              <w:right w:type="dxa" w:w="100"/>
            </w:tcMar>
          </w:tcPr>
          <w:p>
            <w:pPr>
              <w:jc w:val="left"/>
            </w:pPr>
            <w:r>
              <w:rPr>
                <w:b w:val="false"/>
                <w:bCs w:val="false"/>
                <w:color w:val="202020"/>
                <w:sz w:val="18"/>
                <w:szCs w:val="18"/>
              </w:rPr>
              <w:t xml:space="preserve">HMRC capital allowances guidance, reviewed by a tax professional</w:t>
            </w:r>
          </w:p>
        </w:tc>
      </w:tr>
      <w:tr>
        <w:tc>
          <w:tcPr>
            <w:tcW w:type="dxa" w:w="1100"/>
            <w:tcMar>
              <w:top w:type="dxa" w:w="80"/>
              <w:left w:type="dxa" w:w="100"/>
              <w:bottom w:type="dxa" w:w="80"/>
              <w:right w:type="dxa" w:w="100"/>
            </w:tcMar>
          </w:tcPr>
          <w:p>
            <w:pPr>
              <w:jc w:val="left"/>
            </w:pPr>
            <w:r>
              <w:rPr>
                <w:b w:val="false"/>
                <w:bCs w:val="false"/>
                <w:color w:val="202020"/>
                <w:sz w:val="18"/>
                <w:szCs w:val="18"/>
              </w:rPr>
              <w:t xml:space="preserve">VR-09</w:t>
            </w:r>
          </w:p>
        </w:tc>
        <w:tc>
          <w:tcPr>
            <w:tcW w:type="dxa" w:w="900"/>
            <w:tcMar>
              <w:top w:type="dxa" w:w="80"/>
              <w:left w:type="dxa" w:w="100"/>
              <w:bottom w:type="dxa" w:w="80"/>
              <w:right w:type="dxa" w:w="100"/>
            </w:tcMar>
          </w:tcPr>
          <w:p>
            <w:pPr>
              <w:jc w:val="left"/>
            </w:pPr>
            <w:r>
              <w:rPr>
                <w:b w:val="false"/>
                <w:bCs w:val="false"/>
                <w:color w:val="202020"/>
                <w:sz w:val="18"/>
                <w:szCs w:val="18"/>
              </w:rPr>
              <w:t xml:space="preserve">H</w:t>
            </w:r>
          </w:p>
        </w:tc>
        <w:tc>
          <w:tcPr>
            <w:tcW w:type="dxa" w:w="4200"/>
            <w:tcMar>
              <w:top w:type="dxa" w:w="80"/>
              <w:left w:type="dxa" w:w="100"/>
              <w:bottom w:type="dxa" w:w="80"/>
              <w:right w:type="dxa" w:w="100"/>
            </w:tcMar>
          </w:tcPr>
          <w:p>
            <w:pPr>
              <w:jc w:val="left"/>
            </w:pPr>
            <w:r>
              <w:rPr>
                <w:b w:val="false"/>
                <w:bCs w:val="false"/>
                <w:color w:val="202020"/>
                <w:sz w:val="18"/>
                <w:szCs w:val="18"/>
              </w:rPr>
              <w:t xml:space="preserve">HMRC's and Companies House's specific conditions on how a third-party platform may store and use a user's submission credentials (Section 6.2, Section 4.1 step 5)</w:t>
            </w:r>
          </w:p>
        </w:tc>
        <w:tc>
          <w:tcPr>
            <w:tcW w:type="dxa" w:w="3546"/>
            <w:tcMar>
              <w:top w:type="dxa" w:w="80"/>
              <w:left w:type="dxa" w:w="100"/>
              <w:bottom w:type="dxa" w:w="80"/>
              <w:right w:type="dxa" w:w="100"/>
            </w:tcMar>
          </w:tcPr>
          <w:p>
            <w:pPr>
              <w:jc w:val="left"/>
            </w:pPr>
            <w:r>
              <w:rPr>
                <w:b w:val="false"/>
                <w:bCs w:val="false"/>
                <w:color w:val="202020"/>
                <w:sz w:val="18"/>
                <w:szCs w:val="18"/>
              </w:rPr>
              <w:t xml:space="preserve">HMRC's Software Developer Support Team and Companies House directly, not inferred from general OAuth2 practice</w:t>
            </w:r>
          </w:p>
        </w:tc>
      </w:tr>
      <w:tr>
        <w:tc>
          <w:tcPr>
            <w:tcW w:type="dxa" w:w="1100"/>
            <w:shd w:fill="F2F2F2" w:color="auto" w:val="clear"/>
            <w:tcMar>
              <w:top w:type="dxa" w:w="80"/>
              <w:left w:type="dxa" w:w="100"/>
              <w:bottom w:type="dxa" w:w="80"/>
              <w:right w:type="dxa" w:w="100"/>
            </w:tcMar>
          </w:tcPr>
          <w:p>
            <w:pPr>
              <w:jc w:val="left"/>
            </w:pPr>
            <w:r>
              <w:rPr>
                <w:b w:val="false"/>
                <w:bCs w:val="false"/>
                <w:color w:val="202020"/>
                <w:sz w:val="18"/>
                <w:szCs w:val="18"/>
              </w:rPr>
              <w:t xml:space="preserve">VR-12</w:t>
            </w:r>
          </w:p>
        </w:tc>
        <w:tc>
          <w:tcPr>
            <w:tcW w:type="dxa" w:w="900"/>
            <w:shd w:fill="F2F2F2" w:color="auto" w:val="clear"/>
            <w:tcMar>
              <w:top w:type="dxa" w:w="80"/>
              <w:left w:type="dxa" w:w="100"/>
              <w:bottom w:type="dxa" w:w="80"/>
              <w:right w:type="dxa" w:w="100"/>
            </w:tcMar>
          </w:tcPr>
          <w:p>
            <w:pPr>
              <w:jc w:val="left"/>
            </w:pPr>
            <w:r>
              <w:rPr>
                <w:b w:val="false"/>
                <w:bCs w:val="false"/>
                <w:color w:val="202020"/>
                <w:sz w:val="18"/>
                <w:szCs w:val="18"/>
              </w:rPr>
              <w:t xml:space="preserve">M</w:t>
            </w:r>
          </w:p>
        </w:tc>
        <w:tc>
          <w:tcPr>
            <w:tcW w:type="dxa" w:w="4200"/>
            <w:shd w:fill="F2F2F2" w:color="auto" w:val="clear"/>
            <w:tcMar>
              <w:top w:type="dxa" w:w="80"/>
              <w:left w:type="dxa" w:w="100"/>
              <w:bottom w:type="dxa" w:w="80"/>
              <w:right w:type="dxa" w:w="100"/>
            </w:tcMar>
          </w:tcPr>
          <w:p>
            <w:pPr>
              <w:jc w:val="left"/>
            </w:pPr>
            <w:r>
              <w:rPr>
                <w:b w:val="false"/>
                <w:bCs w:val="false"/>
                <w:color w:val="202020"/>
                <w:sz w:val="18"/>
                <w:szCs w:val="18"/>
              </w:rPr>
              <w:t xml:space="preserve">CT600 figure rounding convention (nearest pound, truncate, or penny-accurate throughout)</w:t>
            </w:r>
          </w:p>
        </w:tc>
        <w:tc>
          <w:tcPr>
            <w:tcW w:type="dxa" w:w="3546"/>
            <w:shd w:fill="F2F2F2" w:color="auto" w:val="clear"/>
            <w:tcMar>
              <w:top w:type="dxa" w:w="80"/>
              <w:left w:type="dxa" w:w="100"/>
              <w:bottom w:type="dxa" w:w="80"/>
              <w:right w:type="dxa" w:w="100"/>
            </w:tcMar>
          </w:tcPr>
          <w:p>
            <w:pPr>
              <w:jc w:val="left"/>
            </w:pPr>
            <w:r>
              <w:rPr>
                <w:b w:val="false"/>
                <w:bCs w:val="false"/>
                <w:color w:val="202020"/>
                <w:sz w:val="18"/>
                <w:szCs w:val="18"/>
              </w:rPr>
              <w:t xml:space="preserve">HMRC's technical pack and published test scenarios</w:t>
            </w:r>
          </w:p>
        </w:tc>
      </w:tr>
      <w:tr>
        <w:tc>
          <w:tcPr>
            <w:tcW w:type="dxa" w:w="1100"/>
            <w:tcMar>
              <w:top w:type="dxa" w:w="80"/>
              <w:left w:type="dxa" w:w="100"/>
              <w:bottom w:type="dxa" w:w="80"/>
              <w:right w:type="dxa" w:w="100"/>
            </w:tcMar>
          </w:tcPr>
          <w:p>
            <w:pPr>
              <w:jc w:val="left"/>
            </w:pPr>
            <w:r>
              <w:rPr>
                <w:b w:val="false"/>
                <w:bCs w:val="false"/>
                <w:color w:val="202020"/>
                <w:sz w:val="18"/>
                <w:szCs w:val="18"/>
              </w:rPr>
              <w:t xml:space="preserve">VR-14</w:t>
            </w:r>
          </w:p>
        </w:tc>
        <w:tc>
          <w:tcPr>
            <w:tcW w:type="dxa" w:w="900"/>
            <w:tcMar>
              <w:top w:type="dxa" w:w="80"/>
              <w:left w:type="dxa" w:w="100"/>
              <w:bottom w:type="dxa" w:w="80"/>
              <w:right w:type="dxa" w:w="100"/>
            </w:tcMar>
          </w:tcPr>
          <w:p>
            <w:pPr>
              <w:jc w:val="left"/>
            </w:pPr>
            <w:r>
              <w:rPr>
                <w:b w:val="false"/>
                <w:bCs w:val="false"/>
                <w:color w:val="202020"/>
                <w:sz w:val="18"/>
                <w:szCs w:val="18"/>
              </w:rPr>
              <w:t xml:space="preserve">H</w:t>
            </w:r>
          </w:p>
        </w:tc>
        <w:tc>
          <w:tcPr>
            <w:tcW w:type="dxa" w:w="4200"/>
            <w:tcMar>
              <w:top w:type="dxa" w:w="80"/>
              <w:left w:type="dxa" w:w="100"/>
              <w:bottom w:type="dxa" w:w="80"/>
              <w:right w:type="dxa" w:w="100"/>
            </w:tcMar>
          </w:tcPr>
          <w:p>
            <w:pPr>
              <w:jc w:val="left"/>
            </w:pPr>
            <w:r>
              <w:rPr>
                <w:b w:val="false"/>
                <w:bCs w:val="false"/>
                <w:color w:val="202020"/>
                <w:sz w:val="18"/>
                <w:szCs w:val="18"/>
              </w:rPr>
              <w:t xml:space="preserve">Full micro-entity and small-company thresholds and exclusions, including any company types that cannot use micro-entity accounts regardless of size (Rule 3.1.8a, Section 3.6.4)</w:t>
            </w:r>
          </w:p>
        </w:tc>
        <w:tc>
          <w:tcPr>
            <w:tcW w:type="dxa" w:w="3546"/>
            <w:tcMar>
              <w:top w:type="dxa" w:w="80"/>
              <w:left w:type="dxa" w:w="100"/>
              <w:bottom w:type="dxa" w:w="80"/>
              <w:right w:type="dxa" w:w="100"/>
            </w:tcMar>
          </w:tcPr>
          <w:p>
            <w:pPr>
              <w:jc w:val="left"/>
            </w:pPr>
            <w:r>
              <w:rPr>
                <w:b w:val="false"/>
                <w:bCs w:val="false"/>
                <w:color w:val="202020"/>
                <w:sz w:val="18"/>
                <w:szCs w:val="18"/>
              </w:rPr>
              <w:t xml:space="preserve">Companies Act 2006 as amended, and current Companies House guidance</w:t>
            </w:r>
          </w:p>
        </w:tc>
      </w:tr>
      <w:tr>
        <w:tc>
          <w:tcPr>
            <w:tcW w:type="dxa" w:w="1100"/>
            <w:shd w:fill="F2F2F2" w:color="auto" w:val="clear"/>
            <w:tcMar>
              <w:top w:type="dxa" w:w="80"/>
              <w:left w:type="dxa" w:w="100"/>
              <w:bottom w:type="dxa" w:w="80"/>
              <w:right w:type="dxa" w:w="100"/>
            </w:tcMar>
          </w:tcPr>
          <w:p>
            <w:pPr>
              <w:jc w:val="left"/>
            </w:pPr>
            <w:r>
              <w:rPr>
                <w:b w:val="false"/>
                <w:bCs w:val="false"/>
                <w:color w:val="202020"/>
                <w:sz w:val="18"/>
                <w:szCs w:val="18"/>
              </w:rPr>
              <w:t xml:space="preserve">VR-15</w:t>
            </w:r>
          </w:p>
        </w:tc>
        <w:tc>
          <w:tcPr>
            <w:tcW w:type="dxa" w:w="900"/>
            <w:shd w:fill="F2F2F2" w:color="auto" w:val="clear"/>
            <w:tcMar>
              <w:top w:type="dxa" w:w="80"/>
              <w:left w:type="dxa" w:w="100"/>
              <w:bottom w:type="dxa" w:w="80"/>
              <w:right w:type="dxa" w:w="100"/>
            </w:tcMar>
          </w:tcPr>
          <w:p>
            <w:pPr>
              <w:jc w:val="left"/>
            </w:pPr>
            <w:r>
              <w:rPr>
                <w:b w:val="false"/>
                <w:bCs w:val="false"/>
                <w:color w:val="202020"/>
                <w:sz w:val="18"/>
                <w:szCs w:val="18"/>
              </w:rPr>
              <w:t xml:space="preserve">M</w:t>
            </w:r>
          </w:p>
        </w:tc>
        <w:tc>
          <w:tcPr>
            <w:tcW w:type="dxa" w:w="4200"/>
            <w:shd w:fill="F2F2F2" w:color="auto" w:val="clear"/>
            <w:tcMar>
              <w:top w:type="dxa" w:w="80"/>
              <w:left w:type="dxa" w:w="100"/>
              <w:bottom w:type="dxa" w:w="80"/>
              <w:right w:type="dxa" w:w="100"/>
            </w:tcMar>
          </w:tcPr>
          <w:p>
            <w:pPr>
              <w:jc w:val="left"/>
            </w:pPr>
            <w:r>
              <w:rPr>
                <w:b w:val="false"/>
                <w:bCs w:val="false"/>
                <w:color w:val="202020"/>
                <w:sz w:val="18"/>
                <w:szCs w:val="18"/>
              </w:rPr>
              <w:t xml:space="preserve">HMRC's expectation of a profit and loss account within attached accounts ahead of the 2028 ECCTA deadline, attachment rules for a split extended period, and the computations taxonomy (Rule 3.1.8b)</w:t>
            </w:r>
          </w:p>
        </w:tc>
        <w:tc>
          <w:tcPr>
            <w:tcW w:type="dxa" w:w="3546"/>
            <w:shd w:fill="F2F2F2" w:color="auto" w:val="clear"/>
            <w:tcMar>
              <w:top w:type="dxa" w:w="80"/>
              <w:left w:type="dxa" w:w="100"/>
              <w:bottom w:type="dxa" w:w="80"/>
              <w:right w:type="dxa" w:w="100"/>
            </w:tcMar>
          </w:tcPr>
          <w:p>
            <w:pPr>
              <w:jc w:val="left"/>
            </w:pPr>
            <w:r>
              <w:rPr>
                <w:b w:val="false"/>
                <w:bCs w:val="false"/>
                <w:color w:val="202020"/>
                <w:sz w:val="18"/>
                <w:szCs w:val="18"/>
              </w:rPr>
              <w:t xml:space="preserve">HMRC's technical pack and External Test Service scenarios</w:t>
            </w:r>
          </w:p>
        </w:tc>
      </w:tr>
      <w:tr>
        <w:tc>
          <w:tcPr>
            <w:tcW w:type="dxa" w:w="1100"/>
            <w:tcMar>
              <w:top w:type="dxa" w:w="80"/>
              <w:left w:type="dxa" w:w="100"/>
              <w:bottom w:type="dxa" w:w="80"/>
              <w:right w:type="dxa" w:w="100"/>
            </w:tcMar>
          </w:tcPr>
          <w:p>
            <w:pPr>
              <w:jc w:val="left"/>
            </w:pPr>
            <w:r>
              <w:rPr>
                <w:b w:val="false"/>
                <w:bCs w:val="false"/>
                <w:color w:val="202020"/>
                <w:sz w:val="18"/>
                <w:szCs w:val="18"/>
              </w:rPr>
              <w:t xml:space="preserve">VR-19</w:t>
            </w:r>
          </w:p>
        </w:tc>
        <w:tc>
          <w:tcPr>
            <w:tcW w:type="dxa" w:w="900"/>
            <w:tcMar>
              <w:top w:type="dxa" w:w="80"/>
              <w:left w:type="dxa" w:w="100"/>
              <w:bottom w:type="dxa" w:w="80"/>
              <w:right w:type="dxa" w:w="100"/>
            </w:tcMar>
          </w:tcPr>
          <w:p>
            <w:pPr>
              <w:jc w:val="left"/>
            </w:pPr>
            <w:r>
              <w:rPr>
                <w:b w:val="false"/>
                <w:bCs w:val="false"/>
                <w:color w:val="202020"/>
                <w:sz w:val="18"/>
                <w:szCs w:val="18"/>
              </w:rPr>
              <w:t xml:space="preserve">M</w:t>
            </w:r>
          </w:p>
        </w:tc>
        <w:tc>
          <w:tcPr>
            <w:tcW w:type="dxa" w:w="4200"/>
            <w:tcMar>
              <w:top w:type="dxa" w:w="80"/>
              <w:left w:type="dxa" w:w="100"/>
              <w:bottom w:type="dxa" w:w="80"/>
              <w:right w:type="dxa" w:w="100"/>
            </w:tcMar>
          </w:tcPr>
          <w:p>
            <w:pPr>
              <w:jc w:val="left"/>
            </w:pPr>
            <w:r>
              <w:rPr>
                <w:b w:val="false"/>
                <w:bCs w:val="false"/>
                <w:color w:val="202020"/>
                <w:sz w:val="18"/>
                <w:szCs w:val="18"/>
              </w:rPr>
              <w:t xml:space="preserve">Exactly when a dormant company must still file a nil CT600, versus when it can be excused entirely (relevant to the Dormant pricing tier, Section 5.1)</w:t>
            </w:r>
          </w:p>
        </w:tc>
        <w:tc>
          <w:tcPr>
            <w:tcW w:type="dxa" w:w="3546"/>
            <w:tcMar>
              <w:top w:type="dxa" w:w="80"/>
              <w:left w:type="dxa" w:w="100"/>
              <w:bottom w:type="dxa" w:w="80"/>
              <w:right w:type="dxa" w:w="100"/>
            </w:tcMar>
          </w:tcPr>
          <w:p>
            <w:pPr>
              <w:jc w:val="left"/>
            </w:pPr>
            <w:r>
              <w:rPr>
                <w:b w:val="false"/>
                <w:bCs w:val="false"/>
                <w:color w:val="202020"/>
                <w:sz w:val="18"/>
                <w:szCs w:val="18"/>
              </w:rPr>
              <w:t xml:space="preserve">HMRC guidance on dormant companies</w:t>
            </w:r>
          </w:p>
        </w:tc>
      </w:tr>
      <w:tr>
        <w:tc>
          <w:tcPr>
            <w:tcW w:type="dxa" w:w="1100"/>
            <w:shd w:fill="F2F2F2" w:color="auto" w:val="clear"/>
            <w:tcMar>
              <w:top w:type="dxa" w:w="80"/>
              <w:left w:type="dxa" w:w="100"/>
              <w:bottom w:type="dxa" w:w="80"/>
              <w:right w:type="dxa" w:w="100"/>
            </w:tcMar>
          </w:tcPr>
          <w:p>
            <w:pPr>
              <w:jc w:val="left"/>
            </w:pPr>
            <w:r>
              <w:rPr>
                <w:b w:val="false"/>
                <w:bCs w:val="false"/>
                <w:color w:val="202020"/>
                <w:sz w:val="18"/>
                <w:szCs w:val="18"/>
              </w:rPr>
              <w:t xml:space="preserve">VR-20</w:t>
            </w:r>
          </w:p>
        </w:tc>
        <w:tc>
          <w:tcPr>
            <w:tcW w:type="dxa" w:w="900"/>
            <w:shd w:fill="F2F2F2" w:color="auto" w:val="clear"/>
            <w:tcMar>
              <w:top w:type="dxa" w:w="80"/>
              <w:left w:type="dxa" w:w="100"/>
              <w:bottom w:type="dxa" w:w="80"/>
              <w:right w:type="dxa" w:w="100"/>
            </w:tcMar>
          </w:tcPr>
          <w:p>
            <w:pPr>
              <w:jc w:val="left"/>
            </w:pPr>
            <w:r>
              <w:rPr>
                <w:b w:val="false"/>
                <w:bCs w:val="false"/>
                <w:color w:val="202020"/>
                <w:sz w:val="18"/>
                <w:szCs w:val="18"/>
              </w:rPr>
              <w:t xml:space="preserve">M</w:t>
            </w:r>
          </w:p>
        </w:tc>
        <w:tc>
          <w:tcPr>
            <w:tcW w:type="dxa" w:w="4200"/>
            <w:shd w:fill="F2F2F2" w:color="auto" w:val="clear"/>
            <w:tcMar>
              <w:top w:type="dxa" w:w="80"/>
              <w:left w:type="dxa" w:w="100"/>
              <w:bottom w:type="dxa" w:w="80"/>
              <w:right w:type="dxa" w:w="100"/>
            </w:tcMar>
          </w:tcPr>
          <w:p>
            <w:pPr>
              <w:jc w:val="left"/>
            </w:pPr>
            <w:r>
              <w:rPr>
                <w:b w:val="false"/>
                <w:bCs w:val="false"/>
                <w:color w:val="202020"/>
                <w:sz w:val="18"/>
                <w:szCs w:val="18"/>
              </w:rPr>
              <w:t xml:space="preserve">Loss-relief treatment for losses arising before 1 April 2017, which the reference engine in Section 12 deliberately excludes from v1 scope</w:t>
            </w:r>
          </w:p>
        </w:tc>
        <w:tc>
          <w:tcPr>
            <w:tcW w:type="dxa" w:w="3546"/>
            <w:shd w:fill="F2F2F2" w:color="auto" w:val="clear"/>
            <w:tcMar>
              <w:top w:type="dxa" w:w="80"/>
              <w:left w:type="dxa" w:w="100"/>
              <w:bottom w:type="dxa" w:w="80"/>
              <w:right w:type="dxa" w:w="100"/>
            </w:tcMar>
          </w:tcPr>
          <w:p>
            <w:pPr>
              <w:jc w:val="left"/>
            </w:pPr>
            <w:r>
              <w:rPr>
                <w:b w:val="false"/>
                <w:bCs w:val="false"/>
                <w:color w:val="202020"/>
                <w:sz w:val="18"/>
                <w:szCs w:val="18"/>
              </w:rPr>
              <w:t xml:space="preserve">Legislation and a tax professional, before any pre-2017 loss carry-forward is supported</w:t>
            </w:r>
          </w:p>
        </w:tc>
      </w:tr>
      <w:tr>
        <w:tc>
          <w:tcPr>
            <w:tcW w:type="dxa" w:w="1100"/>
            <w:tcMar>
              <w:top w:type="dxa" w:w="80"/>
              <w:left w:type="dxa" w:w="100"/>
              <w:bottom w:type="dxa" w:w="80"/>
              <w:right w:type="dxa" w:w="100"/>
            </w:tcMar>
          </w:tcPr>
          <w:p>
            <w:pPr>
              <w:jc w:val="left"/>
            </w:pPr>
            <w:r>
              <w:rPr>
                <w:b w:val="false"/>
                <w:bCs w:val="false"/>
                <w:color w:val="202020"/>
                <w:sz w:val="18"/>
                <w:szCs w:val="18"/>
              </w:rPr>
              <w:t xml:space="preserve">VR-23</w:t>
            </w:r>
          </w:p>
        </w:tc>
        <w:tc>
          <w:tcPr>
            <w:tcW w:type="dxa" w:w="900"/>
            <w:tcMar>
              <w:top w:type="dxa" w:w="80"/>
              <w:left w:type="dxa" w:w="100"/>
              <w:bottom w:type="dxa" w:w="80"/>
              <w:right w:type="dxa" w:w="100"/>
            </w:tcMar>
          </w:tcPr>
          <w:p>
            <w:pPr>
              <w:jc w:val="left"/>
            </w:pPr>
            <w:r>
              <w:rPr>
                <w:b w:val="false"/>
                <w:bCs w:val="false"/>
                <w:color w:val="202020"/>
                <w:sz w:val="18"/>
                <w:szCs w:val="18"/>
              </w:rPr>
              <w:t xml:space="preserve">L</w:t>
            </w:r>
          </w:p>
        </w:tc>
        <w:tc>
          <w:tcPr>
            <w:tcW w:type="dxa" w:w="4200"/>
            <w:tcMar>
              <w:top w:type="dxa" w:w="80"/>
              <w:left w:type="dxa" w:w="100"/>
              <w:bottom w:type="dxa" w:w="80"/>
              <w:right w:type="dxa" w:w="100"/>
            </w:tcMar>
          </w:tcPr>
          <w:p>
            <w:pPr>
              <w:jc w:val="left"/>
            </w:pPr>
            <w:r>
              <w:rPr>
                <w:b w:val="false"/>
                <w:bCs w:val="false"/>
                <w:color w:val="202020"/>
                <w:sz w:val="18"/>
                <w:szCs w:val="18"/>
              </w:rPr>
              <w:t xml:space="preserve">Real HMRC and Companies House gateway error codes and their plain-English meanings, for the error-translation requirement already in Section 9</w:t>
            </w:r>
          </w:p>
        </w:tc>
        <w:tc>
          <w:tcPr>
            <w:tcW w:type="dxa" w:w="3546"/>
            <w:tcMar>
              <w:top w:type="dxa" w:w="80"/>
              <w:left w:type="dxa" w:w="100"/>
              <w:bottom w:type="dxa" w:w="80"/>
              <w:right w:type="dxa" w:w="100"/>
            </w:tcMar>
          </w:tcPr>
          <w:p>
            <w:pPr>
              <w:jc w:val="left"/>
            </w:pPr>
            <w:r>
              <w:rPr>
                <w:b w:val="false"/>
                <w:bCs w:val="false"/>
                <w:color w:val="202020"/>
                <w:sz w:val="18"/>
                <w:szCs w:val="18"/>
              </w:rPr>
              <w:t xml:space="preserve">External Test Service and Local Test Service runs, cross-checked against HMRC's and Companies House's published error-code lists</w:t>
            </w:r>
          </w:p>
        </w:tc>
      </w:tr>
      <w:tr>
        <w:tc>
          <w:tcPr>
            <w:tcW w:type="dxa" w:w="1100"/>
            <w:shd w:fill="F2F2F2" w:color="auto" w:val="clear"/>
            <w:tcMar>
              <w:top w:type="dxa" w:w="80"/>
              <w:left w:type="dxa" w:w="100"/>
              <w:bottom w:type="dxa" w:w="80"/>
              <w:right w:type="dxa" w:w="100"/>
            </w:tcMar>
          </w:tcPr>
          <w:p>
            <w:pPr>
              <w:jc w:val="left"/>
            </w:pPr>
            <w:r>
              <w:rPr>
                <w:b w:val="false"/>
                <w:bCs w:val="false"/>
                <w:color w:val="202020"/>
                <w:sz w:val="18"/>
                <w:szCs w:val="18"/>
              </w:rPr>
              <w:t xml:space="preserve">VR-25</w:t>
            </w:r>
          </w:p>
        </w:tc>
        <w:tc>
          <w:tcPr>
            <w:tcW w:type="dxa" w:w="900"/>
            <w:shd w:fill="F2F2F2" w:color="auto" w:val="clear"/>
            <w:tcMar>
              <w:top w:type="dxa" w:w="80"/>
              <w:left w:type="dxa" w:w="100"/>
              <w:bottom w:type="dxa" w:w="80"/>
              <w:right w:type="dxa" w:w="100"/>
            </w:tcMar>
          </w:tcPr>
          <w:p>
            <w:pPr>
              <w:jc w:val="left"/>
            </w:pPr>
            <w:r>
              <w:rPr>
                <w:b w:val="false"/>
                <w:bCs w:val="false"/>
                <w:color w:val="202020"/>
                <w:sz w:val="18"/>
                <w:szCs w:val="18"/>
              </w:rPr>
              <w:t xml:space="preserve">M</w:t>
            </w:r>
          </w:p>
        </w:tc>
        <w:tc>
          <w:tcPr>
            <w:tcW w:type="dxa" w:w="4200"/>
            <w:shd w:fill="F2F2F2" w:color="auto" w:val="clear"/>
            <w:tcMar>
              <w:top w:type="dxa" w:w="80"/>
              <w:left w:type="dxa" w:w="100"/>
              <w:bottom w:type="dxa" w:w="80"/>
              <w:right w:type="dxa" w:w="100"/>
            </w:tcMar>
          </w:tcPr>
          <w:p>
            <w:pPr>
              <w:jc w:val="left"/>
            </w:pPr>
            <w:r>
              <w:rPr>
                <w:b w:val="false"/>
                <w:bCs w:val="false"/>
                <w:color w:val="202020"/>
                <w:sz w:val="18"/>
                <w:szCs w:val="18"/>
              </w:rPr>
              <w:t xml:space="preserve">What live submission activity, if any, is permitted before full production recognition is granted (Section 7.1)</w:t>
            </w:r>
          </w:p>
        </w:tc>
        <w:tc>
          <w:tcPr>
            <w:tcW w:type="dxa" w:w="3546"/>
            <w:shd w:fill="F2F2F2" w:color="auto" w:val="clear"/>
            <w:tcMar>
              <w:top w:type="dxa" w:w="80"/>
              <w:left w:type="dxa" w:w="100"/>
              <w:bottom w:type="dxa" w:w="80"/>
              <w:right w:type="dxa" w:w="100"/>
            </w:tcMar>
          </w:tcPr>
          <w:p>
            <w:pPr>
              <w:jc w:val="left"/>
            </w:pPr>
            <w:r>
              <w:rPr>
                <w:b w:val="false"/>
                <w:bCs w:val="false"/>
                <w:color w:val="202020"/>
                <w:sz w:val="18"/>
                <w:szCs w:val="18"/>
              </w:rPr>
              <w:t xml:space="preserve">HMRC's Software Developer Support Team, confirmed in writing before any pre-recognition live testing is attempted</w:t>
            </w:r>
          </w:p>
        </w:tc>
      </w:tr>
      <w:tr>
        <w:tc>
          <w:tcPr>
            <w:tcW w:type="dxa" w:w="1100"/>
            <w:tcMar>
              <w:top w:type="dxa" w:w="80"/>
              <w:left w:type="dxa" w:w="100"/>
              <w:bottom w:type="dxa" w:w="80"/>
              <w:right w:type="dxa" w:w="100"/>
            </w:tcMar>
          </w:tcPr>
          <w:p>
            <w:pPr>
              <w:jc w:val="left"/>
            </w:pPr>
            <w:r>
              <w:rPr>
                <w:b w:val="false"/>
                <w:bCs w:val="false"/>
                <w:color w:val="202020"/>
                <w:sz w:val="18"/>
                <w:szCs w:val="18"/>
              </w:rPr>
              <w:t xml:space="preserve">VR-27</w:t>
            </w:r>
          </w:p>
        </w:tc>
        <w:tc>
          <w:tcPr>
            <w:tcW w:type="dxa" w:w="900"/>
            <w:tcMar>
              <w:top w:type="dxa" w:w="80"/>
              <w:left w:type="dxa" w:w="100"/>
              <w:bottom w:type="dxa" w:w="80"/>
              <w:right w:type="dxa" w:w="100"/>
            </w:tcMar>
          </w:tcPr>
          <w:p>
            <w:pPr>
              <w:jc w:val="left"/>
            </w:pPr>
            <w:r>
              <w:rPr>
                <w:b w:val="false"/>
                <w:bCs w:val="false"/>
                <w:color w:val="202020"/>
                <w:sz w:val="18"/>
                <w:szCs w:val="18"/>
              </w:rPr>
              <w:t xml:space="preserve">M</w:t>
            </w:r>
          </w:p>
        </w:tc>
        <w:tc>
          <w:tcPr>
            <w:tcW w:type="dxa" w:w="4200"/>
            <w:tcMar>
              <w:top w:type="dxa" w:w="80"/>
              <w:left w:type="dxa" w:w="100"/>
              <w:bottom w:type="dxa" w:w="80"/>
              <w:right w:type="dxa" w:w="100"/>
            </w:tcMar>
          </w:tcPr>
          <w:p>
            <w:pPr>
              <w:jc w:val="left"/>
            </w:pPr>
            <w:r>
              <w:rPr>
                <w:b w:val="false"/>
                <w:bCs w:val="false"/>
                <w:color w:val="202020"/>
                <w:sz w:val="18"/>
                <w:szCs w:val="18"/>
              </w:rPr>
              <w:t xml:space="preserve">VAT return box 6-9 rounding direction: HMRC's MTD API schema confirms whole pounds are required, but does not publish which way to round, the engine's round-half-up (Section 12.3, roundToPoundHalfUp) is a documented default, not a confirmed rule (Rule 3.3.6a)</w:t>
            </w:r>
          </w:p>
        </w:tc>
        <w:tc>
          <w:tcPr>
            <w:tcW w:type="dxa" w:w="3546"/>
            <w:tcMar>
              <w:top w:type="dxa" w:w="80"/>
              <w:left w:type="dxa" w:w="100"/>
              <w:bottom w:type="dxa" w:w="80"/>
              <w:right w:type="dxa" w:w="100"/>
            </w:tcMar>
          </w:tcPr>
          <w:p>
            <w:pPr>
              <w:jc w:val="left"/>
            </w:pPr>
            <w:r>
              <w:rPr>
                <w:b w:val="false"/>
                <w:bCs w:val="false"/>
                <w:color w:val="202020"/>
                <w:sz w:val="18"/>
                <w:szCs w:val="18"/>
              </w:rPr>
              <w:t xml:space="preserve">HMRC's Software Developer Support Team or the VAT policy team directly, since VAT Notice 700/12 and the API specification are both silent on this point</w:t>
            </w:r>
          </w:p>
        </w:tc>
      </w:tr>
      <w:tr>
        <w:tc>
          <w:tcPr>
            <w:tcW w:type="dxa" w:w="1100"/>
            <w:shd w:fill="F2F2F2" w:color="auto" w:val="clear"/>
            <w:tcMar>
              <w:top w:type="dxa" w:w="80"/>
              <w:left w:type="dxa" w:w="100"/>
              <w:bottom w:type="dxa" w:w="80"/>
              <w:right w:type="dxa" w:w="100"/>
            </w:tcMar>
          </w:tcPr>
          <w:p>
            <w:pPr>
              <w:jc w:val="left"/>
            </w:pPr>
            <w:r>
              <w:rPr>
                <w:b w:val="false"/>
                <w:bCs w:val="false"/>
                <w:color w:val="202020"/>
                <w:sz w:val="18"/>
                <w:szCs w:val="18"/>
              </w:rPr>
              <w:t xml:space="preserve">VR-28</w:t>
            </w:r>
          </w:p>
        </w:tc>
        <w:tc>
          <w:tcPr>
            <w:tcW w:type="dxa" w:w="900"/>
            <w:shd w:fill="F2F2F2" w:color="auto" w:val="clear"/>
            <w:tcMar>
              <w:top w:type="dxa" w:w="80"/>
              <w:left w:type="dxa" w:w="100"/>
              <w:bottom w:type="dxa" w:w="80"/>
              <w:right w:type="dxa" w:w="100"/>
            </w:tcMar>
          </w:tcPr>
          <w:p>
            <w:pPr>
              <w:jc w:val="left"/>
            </w:pPr>
            <w:r>
              <w:rPr>
                <w:b w:val="false"/>
                <w:bCs w:val="false"/>
                <w:color w:val="202020"/>
                <w:sz w:val="18"/>
                <w:szCs w:val="18"/>
              </w:rPr>
              <w:t xml:space="preserve">M</w:t>
            </w:r>
          </w:p>
        </w:tc>
        <w:tc>
          <w:tcPr>
            <w:tcW w:type="dxa" w:w="4200"/>
            <w:shd w:fill="F2F2F2" w:color="auto" w:val="clear"/>
            <w:tcMar>
              <w:top w:type="dxa" w:w="80"/>
              <w:left w:type="dxa" w:w="100"/>
              <w:bottom w:type="dxa" w:w="80"/>
              <w:right w:type="dxa" w:w="100"/>
            </w:tcMar>
          </w:tcPr>
          <w:p>
            <w:pPr>
              <w:jc w:val="left"/>
            </w:pPr>
            <w:r>
              <w:rPr>
                <w:b w:val="false"/>
                <w:bCs w:val="false"/>
                <w:color w:val="202020"/>
                <w:sz w:val="18"/>
                <w:szCs w:val="18"/>
              </w:rPr>
              <w:t xml:space="preserve">Flat Rate Scheme sector-rate table only maps the ~54 HMRC-manual sector groupings (FRS7200), not the full ~290-name trade list a real user would search by (Section 12.3, FRS_SECTOR_RATES)</w:t>
            </w:r>
          </w:p>
        </w:tc>
        <w:tc>
          <w:tcPr>
            <w:tcW w:type="dxa" w:w="3546"/>
            <w:shd w:fill="F2F2F2" w:color="auto" w:val="clear"/>
            <w:tcMar>
              <w:top w:type="dxa" w:w="80"/>
              <w:left w:type="dxa" w:w="100"/>
              <w:bottom w:type="dxa" w:w="80"/>
              <w:right w:type="dxa" w:w="100"/>
            </w:tcMar>
          </w:tcPr>
          <w:p>
            <w:pPr>
              <w:jc w:val="left"/>
            </w:pPr>
            <w:r>
              <w:rPr>
                <w:b w:val="false"/>
                <w:bCs w:val="false"/>
                <w:color w:val="202020"/>
                <w:sz w:val="18"/>
                <w:szCs w:val="18"/>
              </w:rPr>
              <w:t xml:space="preserve">HMRC's FRS7200 manual and VAT Notice 733 Appendix, built out into a full trade-to-sector lookup before Flat Rate Scheme ships to real users</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8A1F2D" w:sz="4"/>
              <w:left w:val="single" w:color="8A1F2D" w:sz="4"/>
              <w:bottom w:val="single" w:color="8A1F2D" w:sz="4"/>
              <w:right w:val="single" w:color="8A1F2D" w:sz="4"/>
            </w:tcBorders>
            <w:shd w:fill="FCEEEE" w:color="auto" w:val="clear"/>
            <w:tcMar>
              <w:top w:type="dxa" w:w="140"/>
              <w:left w:type="dxa" w:w="200"/>
              <w:bottom w:type="dxa" w:w="140"/>
              <w:right w:type="dxa" w:w="200"/>
            </w:tcMar>
          </w:tcPr>
          <w:p>
            <w:pPr>
              <w:spacing w:after="60"/>
            </w:pPr>
            <w:r>
              <w:rPr>
                <w:b/>
                <w:bCs/>
                <w:color w:val="8A1F2D"/>
                <w:sz w:val="20"/>
                <w:szCs w:val="20"/>
              </w:rPr>
              <w:t xml:space="preserve">STANDING RULE, extends the one in Section 3.9</w:t>
            </w:r>
          </w:p>
          <w:p>
            <w:pPr>
              <w:spacing w:after="0"/>
            </w:pPr>
            <w:r>
              <w:rPr>
                <w:color w:val="202020"/>
                <w:sz w:val="20"/>
                <w:szCs w:val="20"/>
              </w:rPr>
              <w:t xml:space="preserve">An item on this register is not closed by finding a plausible-sounding secondary source, a blog post, a forum answer, or an AI-generated summary. It is closed by the specific primary method named in the right-hand column, almost always a named HMRC or Companies House document, a piece of legislation, or a qualified professional's direct review. An unconfirmed figure anywhere in Sections 3, 7 or 12 should block that specific feature shipping, not the whole platform, but it should block that feature.</w:t>
            </w:r>
          </w:p>
        </w:tc>
      </w:tr>
    </w:tbl>
    <w:p>
      <w:pPr>
        <w:pStyle w:val="Heading1"/>
        <w:spacing w:after="200" w:before="420"/>
      </w:pPr>
      <w:r>
        <w:t xml:space="preserve">14. Sources</w:t>
      </w:r>
    </w:p>
    <w:p>
      <w:pPr>
        <w:spacing w:after="150" w:line="300"/>
      </w:pPr>
      <w:r>
        <w:rPr>
          <w:color w:val="202020"/>
          <w:sz w:val="21"/>
          <w:szCs w:val="21"/>
        </w:rPr>
        <w:t xml:space="preserve">All figures in Section 3 were verified directly against the following official sources during preparation of this document, current as of September 2026. Sources for the submission-architecture detail in Section 7 and the reference engine in Section 12 are listed at the end of this section.</w:t>
      </w:r>
    </w:p>
    <w:p>
      <w:pPr>
        <w:pStyle w:val="ListParagraph"/>
        <w:numPr>
          <w:ilvl w:val="0"/>
          <w:numId w:val="3"/>
        </w:numPr>
        <w:spacing w:after="90" w:line="290"/>
      </w:pPr>
      <w:r>
        <w:rPr>
          <w:color w:val="202020"/>
          <w:sz w:val="21"/>
          <w:szCs w:val="21"/>
        </w:rPr>
        <w:t xml:space="preserve">gov.uk rates and allowances for Corporation Tax: gov.uk/government/publications/rates-and-allowances-corporation-tax</w:t>
      </w:r>
    </w:p>
    <w:p>
      <w:pPr>
        <w:pStyle w:val="ListParagraph"/>
        <w:numPr>
          <w:ilvl w:val="0"/>
          <w:numId w:val="3"/>
        </w:numPr>
        <w:spacing w:after="90" w:line="290"/>
      </w:pPr>
      <w:r>
        <w:rPr>
          <w:color w:val="202020"/>
          <w:sz w:val="21"/>
          <w:szCs w:val="21"/>
        </w:rPr>
        <w:t xml:space="preserve">gov.uk Corporation Tax marginal relief guidance: gov.uk/guidance/corporation-tax-marginal-relief</w:t>
      </w:r>
    </w:p>
    <w:p>
      <w:pPr>
        <w:pStyle w:val="ListParagraph"/>
        <w:numPr>
          <w:ilvl w:val="0"/>
          <w:numId w:val="3"/>
        </w:numPr>
        <w:spacing w:after="90" w:line="290"/>
      </w:pPr>
      <w:r>
        <w:rPr>
          <w:color w:val="202020"/>
          <w:sz w:val="21"/>
          <w:szCs w:val="21"/>
        </w:rPr>
        <w:t xml:space="preserve">gov.uk Company Tax Returns: gov.uk/company-tax-returns</w:t>
      </w:r>
    </w:p>
    <w:p>
      <w:pPr>
        <w:pStyle w:val="ListParagraph"/>
        <w:numPr>
          <w:ilvl w:val="0"/>
          <w:numId w:val="3"/>
        </w:numPr>
        <w:spacing w:after="90" w:line="290"/>
      </w:pPr>
      <w:r>
        <w:rPr>
          <w:color w:val="202020"/>
          <w:sz w:val="21"/>
          <w:szCs w:val="21"/>
        </w:rPr>
        <w:t xml:space="preserve">gov.uk penalties for late filing of Company Tax Returns: gov.uk/company-tax-returns/penalties-for-late-filing</w:t>
      </w:r>
    </w:p>
    <w:p>
      <w:pPr>
        <w:pStyle w:val="ListParagraph"/>
        <w:numPr>
          <w:ilvl w:val="0"/>
          <w:numId w:val="3"/>
        </w:numPr>
        <w:spacing w:after="90" w:line="290"/>
      </w:pPr>
      <w:r>
        <w:rPr>
          <w:color w:val="202020"/>
          <w:sz w:val="21"/>
          <w:szCs w:val="21"/>
        </w:rPr>
        <w:t xml:space="preserve">gov.uk pay Corporation Tax: gov.uk/pay-corporation-tax</w:t>
      </w:r>
    </w:p>
    <w:p>
      <w:pPr>
        <w:pStyle w:val="ListParagraph"/>
        <w:numPr>
          <w:ilvl w:val="0"/>
          <w:numId w:val="3"/>
        </w:numPr>
        <w:spacing w:after="90" w:line="290"/>
      </w:pPr>
      <w:r>
        <w:rPr>
          <w:color w:val="202020"/>
          <w:sz w:val="21"/>
          <w:szCs w:val="21"/>
        </w:rPr>
        <w:t xml:space="preserve">gov.uk Company Tax Return obligations: gov.uk/guidance/company-tax-return-obligations</w:t>
      </w:r>
    </w:p>
    <w:p>
      <w:pPr>
        <w:pStyle w:val="ListParagraph"/>
        <w:numPr>
          <w:ilvl w:val="0"/>
          <w:numId w:val="3"/>
        </w:numPr>
        <w:spacing w:after="90" w:line="290"/>
      </w:pPr>
      <w:r>
        <w:rPr>
          <w:color w:val="202020"/>
          <w:sz w:val="21"/>
          <w:szCs w:val="21"/>
        </w:rPr>
        <w:t xml:space="preserve">gov.uk microentities, small and dormant companies: gov.uk/annual-accounts/microentities-small-and-dormant-companies</w:t>
      </w:r>
    </w:p>
    <w:p>
      <w:pPr>
        <w:pStyle w:val="ListParagraph"/>
        <w:numPr>
          <w:ilvl w:val="0"/>
          <w:numId w:val="3"/>
        </w:numPr>
        <w:spacing w:after="90" w:line="290"/>
      </w:pPr>
      <w:r>
        <w:rPr>
          <w:color w:val="202020"/>
          <w:sz w:val="21"/>
          <w:szCs w:val="21"/>
        </w:rPr>
        <w:t xml:space="preserve">HMRC Company Taxation Manual, associated companies: gov.uk/hmrc-internal-manuals/company-taxation-manual/ctm03560, ctm03941, ctm03945</w:t>
      </w:r>
    </w:p>
    <w:p>
      <w:pPr>
        <w:pStyle w:val="ListParagraph"/>
        <w:numPr>
          <w:ilvl w:val="0"/>
          <w:numId w:val="3"/>
        </w:numPr>
        <w:spacing w:after="90" w:line="290"/>
      </w:pPr>
      <w:r>
        <w:rPr>
          <w:color w:val="202020"/>
          <w:sz w:val="21"/>
          <w:szCs w:val="21"/>
        </w:rPr>
        <w:t xml:space="preserve">gov.uk first company accounts and returns: gov.uk/first-company-accounts-and-return</w:t>
      </w:r>
    </w:p>
    <w:p>
      <w:pPr>
        <w:pStyle w:val="ListParagraph"/>
        <w:numPr>
          <w:ilvl w:val="0"/>
          <w:numId w:val="3"/>
        </w:numPr>
        <w:spacing w:after="90" w:line="290"/>
      </w:pPr>
      <w:r>
        <w:rPr>
          <w:color w:val="202020"/>
          <w:sz w:val="21"/>
          <w:szCs w:val="21"/>
        </w:rPr>
        <w:t xml:space="preserve">gov.uk closure of the HMRC free accounts/CT600 filing service: gov.uk/guidance/closure-of-the-service-to-file-your-company-accounts-and-tax-return</w:t>
      </w:r>
    </w:p>
    <w:p>
      <w:pPr>
        <w:pStyle w:val="ListParagraph"/>
        <w:numPr>
          <w:ilvl w:val="0"/>
          <w:numId w:val="3"/>
        </w:numPr>
        <w:spacing w:after="90" w:line="290"/>
      </w:pPr>
      <w:r>
        <w:rPr>
          <w:color w:val="202020"/>
          <w:sz w:val="21"/>
          <w:szCs w:val="21"/>
        </w:rPr>
        <w:t xml:space="preserve">gov.uk VAT rates: gov.uk/vat-rates</w:t>
      </w:r>
    </w:p>
    <w:p>
      <w:pPr>
        <w:pStyle w:val="ListParagraph"/>
        <w:numPr>
          <w:ilvl w:val="0"/>
          <w:numId w:val="3"/>
        </w:numPr>
        <w:spacing w:after="90" w:line="290"/>
      </w:pPr>
      <w:r>
        <w:rPr>
          <w:color w:val="202020"/>
          <w:sz w:val="21"/>
          <w:szCs w:val="21"/>
        </w:rPr>
        <w:t xml:space="preserve">gov.uk VAT registration: gov.uk/vat-registration/when-to-register</w:t>
      </w:r>
    </w:p>
    <w:p>
      <w:pPr>
        <w:pStyle w:val="ListParagraph"/>
        <w:numPr>
          <w:ilvl w:val="0"/>
          <w:numId w:val="3"/>
        </w:numPr>
        <w:spacing w:after="90" w:line="290"/>
      </w:pPr>
      <w:r>
        <w:rPr>
          <w:color w:val="202020"/>
          <w:sz w:val="21"/>
          <w:szCs w:val="21"/>
        </w:rPr>
        <w:t xml:space="preserve">gov.uk cancel VAT registration: gov.uk/register-for-vat/cancel-your-registration</w:t>
      </w:r>
    </w:p>
    <w:p>
      <w:pPr>
        <w:pStyle w:val="ListParagraph"/>
        <w:numPr>
          <w:ilvl w:val="0"/>
          <w:numId w:val="3"/>
        </w:numPr>
        <w:spacing w:after="90" w:line="290"/>
      </w:pPr>
      <w:r>
        <w:rPr>
          <w:color w:val="202020"/>
          <w:sz w:val="21"/>
          <w:szCs w:val="21"/>
        </w:rPr>
        <w:t xml:space="preserve">gov.uk MTD for VAT record keeping and VAT Notice 700/22: gov.uk/vat-record-keeping/making-tax-digital-for-vat</w:t>
      </w:r>
    </w:p>
    <w:p>
      <w:pPr>
        <w:pStyle w:val="ListParagraph"/>
        <w:numPr>
          <w:ilvl w:val="0"/>
          <w:numId w:val="3"/>
        </w:numPr>
        <w:spacing w:after="90" w:line="290"/>
      </w:pPr>
      <w:r>
        <w:rPr>
          <w:color w:val="202020"/>
          <w:sz w:val="21"/>
          <w:szCs w:val="21"/>
        </w:rPr>
        <w:t xml:space="preserve">gov.uk submit a VAT return: gov.uk/submit-vat-return</w:t>
      </w:r>
    </w:p>
    <w:p>
      <w:pPr>
        <w:pStyle w:val="ListParagraph"/>
        <w:numPr>
          <w:ilvl w:val="0"/>
          <w:numId w:val="3"/>
        </w:numPr>
        <w:spacing w:after="90" w:line="290"/>
      </w:pPr>
      <w:r>
        <w:rPr>
          <w:color w:val="202020"/>
          <w:sz w:val="21"/>
          <w:szCs w:val="21"/>
        </w:rPr>
        <w:t xml:space="preserve">gov.uk VAT Flat Rate Scheme: gov.uk/vat-flat-rate-scheme</w:t>
      </w:r>
    </w:p>
    <w:p>
      <w:pPr>
        <w:pStyle w:val="ListParagraph"/>
        <w:numPr>
          <w:ilvl w:val="0"/>
          <w:numId w:val="3"/>
        </w:numPr>
        <w:spacing w:after="90" w:line="290"/>
      </w:pPr>
      <w:r>
        <w:rPr>
          <w:color w:val="202020"/>
          <w:sz w:val="21"/>
          <w:szCs w:val="21"/>
        </w:rPr>
        <w:t xml:space="preserve">gov.uk Income Tax rates: gov.uk/income-tax-rates</w:t>
      </w:r>
    </w:p>
    <w:p>
      <w:pPr>
        <w:pStyle w:val="ListParagraph"/>
        <w:numPr>
          <w:ilvl w:val="0"/>
          <w:numId w:val="3"/>
        </w:numPr>
        <w:spacing w:after="90" w:line="290"/>
      </w:pPr>
      <w:r>
        <w:rPr>
          <w:color w:val="202020"/>
          <w:sz w:val="21"/>
          <w:szCs w:val="21"/>
        </w:rPr>
        <w:t xml:space="preserve">gov.uk self-employed National Insurance rates: gov.uk/self-employed-national-insurance-rates</w:t>
      </w:r>
    </w:p>
    <w:p>
      <w:pPr>
        <w:pStyle w:val="ListParagraph"/>
        <w:numPr>
          <w:ilvl w:val="0"/>
          <w:numId w:val="3"/>
        </w:numPr>
        <w:spacing w:after="90" w:line="290"/>
      </w:pPr>
      <w:r>
        <w:rPr>
          <w:color w:val="202020"/>
          <w:sz w:val="21"/>
          <w:szCs w:val="21"/>
        </w:rPr>
        <w:t xml:space="preserve">gov.uk Self Assessment tax return deadlines: gov.uk/self-assessment-tax-returns/deadlines</w:t>
      </w:r>
    </w:p>
    <w:p>
      <w:pPr>
        <w:pStyle w:val="ListParagraph"/>
        <w:numPr>
          <w:ilvl w:val="0"/>
          <w:numId w:val="3"/>
        </w:numPr>
        <w:spacing w:after="90" w:line="290"/>
      </w:pPr>
      <w:r>
        <w:rPr>
          <w:color w:val="202020"/>
          <w:sz w:val="21"/>
          <w:szCs w:val="21"/>
        </w:rPr>
        <w:t xml:space="preserve">gov.uk pay a Self Assessment tax bill: gov.uk/pay-self-assessment-tax-bill</w:t>
      </w:r>
    </w:p>
    <w:p>
      <w:pPr>
        <w:pStyle w:val="ListParagraph"/>
        <w:numPr>
          <w:ilvl w:val="0"/>
          <w:numId w:val="3"/>
        </w:numPr>
        <w:spacing w:after="90" w:line="290"/>
      </w:pPr>
      <w:r>
        <w:rPr>
          <w:color w:val="202020"/>
          <w:sz w:val="21"/>
          <w:szCs w:val="21"/>
        </w:rPr>
        <w:t xml:space="preserve">gov.uk payments on account: gov.uk/understand-self-assessment-bill/payments-on-account</w:t>
      </w:r>
    </w:p>
    <w:p>
      <w:pPr>
        <w:pStyle w:val="ListParagraph"/>
        <w:numPr>
          <w:ilvl w:val="0"/>
          <w:numId w:val="3"/>
        </w:numPr>
        <w:spacing w:after="90" w:line="290"/>
      </w:pPr>
      <w:r>
        <w:rPr>
          <w:color w:val="202020"/>
          <w:sz w:val="21"/>
          <w:szCs w:val="21"/>
        </w:rPr>
        <w:t xml:space="preserve">gov.uk Making Tax Digital for Income Tax, quarterly updates: gov.uk/guidance/use-making-tax-digital-for-income-tax/send-quarterly-updates</w:t>
      </w:r>
    </w:p>
    <w:p>
      <w:pPr>
        <w:pStyle w:val="ListParagraph"/>
        <w:numPr>
          <w:ilvl w:val="0"/>
          <w:numId w:val="3"/>
        </w:numPr>
        <w:spacing w:after="90" w:line="290"/>
      </w:pPr>
      <w:r>
        <w:rPr>
          <w:color w:val="202020"/>
          <w:sz w:val="21"/>
          <w:szCs w:val="21"/>
        </w:rPr>
        <w:t xml:space="preserve">gov.uk find out if and when you need to use MTD for Income Tax: gov.uk/guidance/find-out-if-and-when-you-need-to-use-making-tax-digital-for-income-tax</w:t>
      </w:r>
    </w:p>
    <w:p>
      <w:pPr>
        <w:pStyle w:val="ListParagraph"/>
        <w:numPr>
          <w:ilvl w:val="0"/>
          <w:numId w:val="3"/>
        </w:numPr>
        <w:spacing w:after="90" w:line="290"/>
      </w:pPr>
      <w:r>
        <w:rPr>
          <w:color w:val="202020"/>
          <w:sz w:val="21"/>
          <w:szCs w:val="21"/>
        </w:rPr>
        <w:t xml:space="preserve">gov.uk life of a company, annual requirements (Companies House): gov.uk/government/publications/life-of-a-company-annual-requirements/life-of-a-company-part-1-accounts</w:t>
      </w:r>
    </w:p>
    <w:p>
      <w:pPr>
        <w:pStyle w:val="ListParagraph"/>
        <w:numPr>
          <w:ilvl w:val="0"/>
          <w:numId w:val="3"/>
        </w:numPr>
        <w:spacing w:after="90" w:line="290"/>
      </w:pPr>
      <w:r>
        <w:rPr>
          <w:color w:val="202020"/>
          <w:sz w:val="21"/>
          <w:szCs w:val="21"/>
        </w:rPr>
        <w:t xml:space="preserve">gov.uk penalties for late filing (Companies House): gov.uk/annual-accounts/penalties-for-late-filing</w:t>
      </w:r>
    </w:p>
    <w:p>
      <w:pPr>
        <w:pStyle w:val="ListParagraph"/>
        <w:numPr>
          <w:ilvl w:val="0"/>
          <w:numId w:val="3"/>
        </w:numPr>
        <w:spacing w:after="90" w:line="290"/>
      </w:pPr>
      <w:r>
        <w:rPr>
          <w:color w:val="202020"/>
          <w:sz w:val="21"/>
          <w:szCs w:val="21"/>
        </w:rPr>
        <w:t xml:space="preserve">gov.uk confirmation statement guidance: gov.uk/guidance/confirmation-statement-guidance</w:t>
      </w:r>
    </w:p>
    <w:p>
      <w:pPr>
        <w:pStyle w:val="ListParagraph"/>
        <w:numPr>
          <w:ilvl w:val="0"/>
          <w:numId w:val="3"/>
        </w:numPr>
        <w:spacing w:after="90" w:line="290"/>
      </w:pPr>
      <w:r>
        <w:rPr>
          <w:color w:val="202020"/>
          <w:sz w:val="21"/>
          <w:szCs w:val="21"/>
        </w:rPr>
        <w:t xml:space="preserve">ICO guide to the data protection fee: ico.org.uk/for-organisations/data-protection-fee/data-protection-fee</w:t>
      </w:r>
    </w:p>
    <w:p>
      <w:pPr>
        <w:pStyle w:val="ListParagraph"/>
        <w:numPr>
          <w:ilvl w:val="0"/>
          <w:numId w:val="3"/>
        </w:numPr>
        <w:spacing w:after="90" w:line="290"/>
      </w:pPr>
      <w:r>
        <w:rPr>
          <w:color w:val="202020"/>
          <w:sz w:val="21"/>
          <w:szCs w:val="21"/>
        </w:rPr>
        <w:t xml:space="preserve">ICO 72-hour breach response guidance: ico.org.uk/for-organisations/advice-for-small-organisations/personal-data-breaches/72-hours-how-to-respond-to-a-personal-data-breach</w:t>
      </w:r>
    </w:p>
    <w:p>
      <w:pPr>
        <w:pStyle w:val="ListParagraph"/>
        <w:numPr>
          <w:ilvl w:val="0"/>
          <w:numId w:val="3"/>
        </w:numPr>
        <w:spacing w:after="90" w:line="290"/>
      </w:pPr>
      <w:r>
        <w:rPr>
          <w:color w:val="202020"/>
          <w:sz w:val="21"/>
          <w:szCs w:val="21"/>
        </w:rPr>
        <w:t xml:space="preserve">ICO Data Protection Impact Assessments guidance: ico.org.uk/for-organisations/uk-gdpr-guidance-and-resources/accountability-and-governance/data-protection-impact-assessments-dpias</w:t>
      </w:r>
    </w:p>
    <w:p>
      <w:pPr>
        <w:pStyle w:val="ListParagraph"/>
        <w:numPr>
          <w:ilvl w:val="0"/>
          <w:numId w:val="3"/>
        </w:numPr>
        <w:spacing w:after="90" w:line="290"/>
      </w:pPr>
      <w:r>
        <w:rPr>
          <w:color w:val="202020"/>
          <w:sz w:val="21"/>
          <w:szCs w:val="21"/>
        </w:rPr>
        <w:t xml:space="preserve">HMRC Developer Hub: developer.service.hmrc.gov.uk</w:t>
      </w:r>
    </w:p>
    <w:p>
      <w:pPr>
        <w:pStyle w:val="ListParagraph"/>
        <w:numPr>
          <w:ilvl w:val="0"/>
          <w:numId w:val="3"/>
        </w:numPr>
        <w:spacing w:after="90" w:line="290"/>
      </w:pPr>
      <w:r>
        <w:rPr>
          <w:color w:val="202020"/>
          <w:sz w:val="21"/>
          <w:szCs w:val="21"/>
        </w:rPr>
        <w:t xml:space="preserve">Companies House manipulate-company-data-api-filing guide: developer-specs.company-information.service.gov.uk</w:t>
      </w:r>
    </w:p>
    <w:p>
      <w:pPr>
        <w:pStyle w:val="ListParagraph"/>
        <w:numPr>
          <w:ilvl w:val="0"/>
          <w:numId w:val="3"/>
        </w:numPr>
        <w:spacing w:after="90" w:line="290"/>
      </w:pPr>
      <w:r>
        <w:rPr>
          <w:color w:val="202020"/>
          <w:sz w:val="21"/>
          <w:szCs w:val="21"/>
        </w:rPr>
        <w:t xml:space="preserve">Adthena UK accounting software PPC spend-share analysis, via TechFinitive, Feb 2026: techfinitive.com/product-guides/sage-xero-quickbooks-and-beyond-a-snapshot-of-the-uk-accounting-software-market-in-2026</w:t>
      </w:r>
    </w:p>
    <w:p>
      <w:pPr>
        <w:pStyle w:val="ListParagraph"/>
        <w:numPr>
          <w:ilvl w:val="0"/>
          <w:numId w:val="3"/>
        </w:numPr>
        <w:spacing w:after="90" w:line="290"/>
      </w:pPr>
      <w:r>
        <w:rPr>
          <w:color w:val="202020"/>
          <w:sz w:val="21"/>
          <w:szCs w:val="21"/>
        </w:rPr>
        <w:t xml:space="preserve">NatWest Group, FreeAgent brand page: natwestgroup.com/who-we-are/our-brands/freeagent.html</w:t>
      </w:r>
    </w:p>
    <w:p>
      <w:pPr>
        <w:spacing w:after="220" w:before="60"/>
      </w:pPr>
      <w:r>
        <w:rPr>
          <w:i/>
          <w:iCs/>
          <w:color w:val="595959"/>
          <w:sz w:val="17"/>
          <w:szCs w:val="17"/>
        </w:rPr>
        <w:t xml:space="preserve">Sources added for Section 7 (submission architecture) and Section 12 (reference engine):</w:t>
      </w:r>
    </w:p>
    <w:p>
      <w:pPr>
        <w:pStyle w:val="ListParagraph"/>
        <w:numPr>
          <w:ilvl w:val="0"/>
          <w:numId w:val="3"/>
        </w:numPr>
        <w:spacing w:after="90" w:line="290"/>
      </w:pPr>
      <w:r>
        <w:rPr>
          <w:color w:val="202020"/>
          <w:sz w:val="21"/>
          <w:szCs w:val="21"/>
        </w:rPr>
        <w:t xml:space="preserve">gov.uk basic guide for XML software developers (GovTalk/XML Gateway mechanics): gov.uk/guidance/basic-guide-for-xml-software-developers</w:t>
      </w:r>
    </w:p>
    <w:p>
      <w:pPr>
        <w:pStyle w:val="ListParagraph"/>
        <w:numPr>
          <w:ilvl w:val="0"/>
          <w:numId w:val="3"/>
        </w:numPr>
        <w:spacing w:after="90" w:line="290"/>
      </w:pPr>
      <w:r>
        <w:rPr>
          <w:color w:val="202020"/>
          <w:sz w:val="21"/>
          <w:szCs w:val="21"/>
        </w:rPr>
        <w:t xml:space="preserve">HMRC, Corporation Tax online: how to use the test service, v1.4a (Local Test Service / External Test Service path): assets.publishing.service.gov.uk/media/637e3914d3bf7f153dd5632f/How_to_use_the_test_service-v1.4a.odt</w:t>
      </w:r>
    </w:p>
    <w:p>
      <w:pPr>
        <w:pStyle w:val="ListParagraph"/>
        <w:numPr>
          <w:ilvl w:val="0"/>
          <w:numId w:val="3"/>
        </w:numPr>
        <w:spacing w:after="90" w:line="290"/>
      </w:pPr>
      <w:r>
        <w:rPr>
          <w:color w:val="202020"/>
          <w:sz w:val="21"/>
          <w:szCs w:val="21"/>
        </w:rPr>
        <w:t xml:space="preserve">Companies House, important information for software developers (presenter ID and testing sequence): gov.uk/government/publications/technical-interface-specifications-for-companies-house-software/important-information-for-software-developers-read-first</w:t>
      </w:r>
    </w:p>
    <w:p>
      <w:pPr>
        <w:pStyle w:val="ListParagraph"/>
        <w:numPr>
          <w:ilvl w:val="0"/>
          <w:numId w:val="3"/>
        </w:numPr>
        <w:spacing w:after="90" w:line="290"/>
      </w:pPr>
      <w:r>
        <w:rPr>
          <w:color w:val="202020"/>
          <w:sz w:val="21"/>
          <w:szCs w:val="21"/>
        </w:rPr>
        <w:t xml:space="preserve">Companies House, Technical Interface Specification for accounts, v5.7 (2025): assets.publishing.service.gov.uk/media/67d82c09d29c27fe69fe930f/Companies_House_TIS_Accounts_Separate__Final__v5.7_2025.odt</w:t>
      </w:r>
    </w:p>
    <w:p>
      <w:pPr>
        <w:pStyle w:val="ListParagraph"/>
        <w:numPr>
          <w:ilvl w:val="0"/>
          <w:numId w:val="3"/>
        </w:numPr>
        <w:spacing w:after="90" w:line="290"/>
      </w:pPr>
      <w:r>
        <w:rPr>
          <w:color w:val="202020"/>
          <w:sz w:val="21"/>
          <w:szCs w:val="21"/>
        </w:rPr>
        <w:t xml:space="preserve">Companies House, Technical Interface Specification v5.3, notes the plan to replace the XML Gateway with a REST API: assets.publishing.service.gov.uk/media/66618d1d2aec9626ea8805c1/Companies_House_TIS_v5.3.odt</w:t>
      </w:r>
    </w:p>
    <w:p>
      <w:pPr>
        <w:pStyle w:val="ListParagraph"/>
        <w:numPr>
          <w:ilvl w:val="0"/>
          <w:numId w:val="3"/>
        </w:numPr>
        <w:spacing w:after="90" w:line="290"/>
      </w:pPr>
      <w:r>
        <w:rPr>
          <w:color w:val="202020"/>
          <w:sz w:val="21"/>
          <w:szCs w:val="21"/>
        </w:rPr>
        <w:t xml:space="preserve">Section 455 rate history and the 6 April 2026 increase to 35.75%: accountingfirms.co.uk/blog/section-455-an-unannounced-tax-rise and alto-accounting.com/insights/section-455-directors-loan-rate-2026-27</w:t>
      </w:r>
    </w:p>
    <w:p>
      <w:pPr>
        <w:spacing w:after="220" w:before="60"/>
      </w:pPr>
      <w:r>
        <w:rPr>
          <w:i/>
          <w:iCs/>
          <w:color w:val="595959"/>
          <w:sz w:val="17"/>
          <w:szCs w:val="17"/>
        </w:rPr>
        <w:t xml:space="preserve">The last two of these sources, and the general IRmark/state-machine approach in Section 7.4, were cross-checked against an independently-produced PRD for a comparable product ("TaxFlow UK v4.1"), reviewed as part of preparing this document, rather than against gov.uk directly in every case. Items sourced this way are flagged individually in the Verification Register, Section 13, and should be independently re-confirmed against the primary HMRC/Companies House documents before the relevant code ships.</w:t>
      </w:r>
    </w:p>
    <w:p>
      <w:pPr>
        <w:spacing w:after="220" w:before="60"/>
      </w:pPr>
      <w:r>
        <w:rPr>
          <w:i/>
          <w:iCs/>
          <w:color w:val="595959"/>
          <w:sz w:val="17"/>
          <w:szCs w:val="17"/>
        </w:rPr>
        <w:t xml:space="preserve">Sources added for the VAT and Income Tax/NIC reference engines (Section 12.3, 12.4):</w:t>
      </w:r>
    </w:p>
    <w:p>
      <w:pPr>
        <w:pStyle w:val="ListParagraph"/>
        <w:numPr>
          <w:ilvl w:val="0"/>
          <w:numId w:val="3"/>
        </w:numPr>
        <w:spacing w:after="90" w:line="290"/>
      </w:pPr>
      <w:r>
        <w:rPr>
          <w:color w:val="202020"/>
          <w:sz w:val="21"/>
          <w:szCs w:val="21"/>
        </w:rPr>
        <w:t xml:space="preserve">HMRC VAT Notice 700/12, how to fill in and submit your VAT Return (penny-accurate boxes 1-5, whole-pound boxes 6-9): gov.uk/guidance/how-to-fill-in-and-submit-your-vat-return-vat-notice-70012</w:t>
      </w:r>
    </w:p>
    <w:p>
      <w:pPr>
        <w:pStyle w:val="ListParagraph"/>
        <w:numPr>
          <w:ilvl w:val="0"/>
          <w:numId w:val="3"/>
        </w:numPr>
        <w:spacing w:after="90" w:line="290"/>
      </w:pPr>
      <w:r>
        <w:rPr>
          <w:color w:val="202020"/>
          <w:sz w:val="21"/>
          <w:szCs w:val="21"/>
        </w:rPr>
        <w:t xml:space="preserve">HMRC VAT (MTD) API specification, VAT Obligations and VAT Returns endpoints, confirms the whole-pound schema constraint for boxes 6-9: developer.service.hmrc.gov.uk</w:t>
      </w:r>
    </w:p>
    <w:p>
      <w:pPr>
        <w:pStyle w:val="ListParagraph"/>
        <w:numPr>
          <w:ilvl w:val="0"/>
          <w:numId w:val="3"/>
        </w:numPr>
        <w:spacing w:after="90" w:line="290"/>
      </w:pPr>
      <w:r>
        <w:rPr>
          <w:color w:val="202020"/>
          <w:sz w:val="21"/>
          <w:szCs w:val="21"/>
        </w:rPr>
        <w:t xml:space="preserve">HMRC internal manual VATREC12010 and VATREC12030, invoice rounding principle (round 0.5p or more up), used as the basis for the engine's documented default: gov.uk/hmrc-internal-manuals/vat-record-keeping</w:t>
      </w:r>
    </w:p>
    <w:p>
      <w:pPr>
        <w:pStyle w:val="ListParagraph"/>
        <w:numPr>
          <w:ilvl w:val="0"/>
          <w:numId w:val="3"/>
        </w:numPr>
        <w:spacing w:after="90" w:line="290"/>
      </w:pPr>
      <w:r>
        <w:rPr>
          <w:color w:val="202020"/>
          <w:sz w:val="21"/>
          <w:szCs w:val="21"/>
        </w:rPr>
        <w:t xml:space="preserve">HMRC VAT Notice 733, Flat Rate Scheme for small businesses, including the join/leave/stay-exception thresholds and the limited-cost-business test: gov.uk/guidance/the-flat-rate-scheme-for-small-businesses-notice-7330</w:t>
      </w:r>
    </w:p>
    <w:p>
      <w:pPr>
        <w:pStyle w:val="ListParagraph"/>
        <w:numPr>
          <w:ilvl w:val="0"/>
          <w:numId w:val="3"/>
        </w:numPr>
        <w:spacing w:after="90" w:line="290"/>
      </w:pPr>
      <w:r>
        <w:rPr>
          <w:color w:val="202020"/>
          <w:sz w:val="21"/>
          <w:szCs w:val="21"/>
        </w:rPr>
        <w:t xml:space="preserve">HMRC internal manual FRS7200, Flat Rate Scheme trade sector list: gov.uk/hmrc-internal-manuals/flat-rate-scheme/frs7200</w:t>
      </w:r>
    </w:p>
    <w:p>
      <w:pPr>
        <w:pStyle w:val="ListParagraph"/>
        <w:numPr>
          <w:ilvl w:val="0"/>
          <w:numId w:val="3"/>
        </w:numPr>
        <w:spacing w:after="90" w:line="290"/>
      </w:pPr>
      <w:r>
        <w:rPr>
          <w:color w:val="202020"/>
          <w:sz w:val="21"/>
          <w:szCs w:val="21"/>
        </w:rPr>
        <w:t xml:space="preserve">gov.uk, register for VAT, when to register (rolling 12-month and 30-day forecast tests): gov.uk/vat-registration/when-to-register</w:t>
      </w:r>
    </w:p>
    <w:p>
      <w:pPr>
        <w:pStyle w:val="ListParagraph"/>
        <w:numPr>
          <w:ilvl w:val="0"/>
          <w:numId w:val="3"/>
        </w:numPr>
        <w:spacing w:after="90" w:line="290"/>
      </w:pPr>
      <w:r>
        <w:rPr>
          <w:color w:val="202020"/>
          <w:sz w:val="21"/>
          <w:szCs w:val="21"/>
        </w:rPr>
        <w:t xml:space="preserve">gov.uk, rates of Income Tax and the Personal Allowance taper for 2026/27: gov.uk/income-tax-rates</w:t>
      </w:r>
    </w:p>
    <w:p>
      <w:pPr>
        <w:pStyle w:val="ListParagraph"/>
        <w:numPr>
          <w:ilvl w:val="0"/>
          <w:numId w:val="3"/>
        </w:numPr>
        <w:spacing w:after="90" w:line="290"/>
      </w:pPr>
      <w:r>
        <w:rPr>
          <w:color w:val="202020"/>
          <w:sz w:val="21"/>
          <w:szCs w:val="21"/>
        </w:rPr>
        <w:t xml:space="preserve">gov.uk, tax on dividends, including the 2026/27 rates and the £500 dividend allowance: gov.uk/tax-on-dividends</w:t>
      </w:r>
    </w:p>
    <w:p>
      <w:pPr>
        <w:pStyle w:val="ListParagraph"/>
        <w:numPr>
          <w:ilvl w:val="0"/>
          <w:numId w:val="3"/>
        </w:numPr>
        <w:spacing w:after="90" w:line="290"/>
      </w:pPr>
      <w:r>
        <w:rPr>
          <w:color w:val="202020"/>
          <w:sz w:val="21"/>
          <w:szCs w:val="21"/>
        </w:rPr>
        <w:t xml:space="preserve">HM Treasury, Autumn Budget 2025, and its accompanying tax information and impact notes on dividend, savings and property income rates, confirming the 6 April 2027 effective date for the new savings/property rates and the new income-stacking order: gov.uk/government/publications/autumn-budget-2025</w:t>
      </w:r>
    </w:p>
    <w:p>
      <w:pPr>
        <w:pStyle w:val="ListParagraph"/>
        <w:numPr>
          <w:ilvl w:val="0"/>
          <w:numId w:val="3"/>
        </w:numPr>
        <w:spacing w:after="90" w:line="290"/>
      </w:pPr>
      <w:r>
        <w:rPr>
          <w:color w:val="202020"/>
          <w:sz w:val="21"/>
          <w:szCs w:val="21"/>
        </w:rPr>
        <w:t xml:space="preserve">gov.uk, trading allowance guidance: gov.uk/guidance/tax-free-allowances-on-property-and-trading-income</w:t>
      </w:r>
    </w:p>
    <w:p>
      <w:pPr>
        <w:pStyle w:val="ListParagraph"/>
        <w:numPr>
          <w:ilvl w:val="0"/>
          <w:numId w:val="3"/>
        </w:numPr>
        <w:spacing w:after="90" w:line="290"/>
      </w:pPr>
      <w:r>
        <w:rPr>
          <w:color w:val="202020"/>
          <w:sz w:val="21"/>
          <w:szCs w:val="21"/>
        </w:rPr>
        <w:t xml:space="preserve">gov.uk, National Insurance rates and categories for employers, Class 1 thresholds and the Employment Allowance, including the sole-director-sole-employee exclusion: gov.uk/national-insurance-rates-letters and gov.uk/claim-employment-allowance</w:t>
      </w:r>
    </w:p>
    <w:p>
      <w:pPr>
        <w:pStyle w:val="ListParagraph"/>
        <w:numPr>
          <w:ilvl w:val="0"/>
          <w:numId w:val="3"/>
        </w:numPr>
        <w:spacing w:after="90" w:line="290"/>
      </w:pPr>
      <w:r>
        <w:rPr>
          <w:color w:val="202020"/>
          <w:sz w:val="21"/>
          <w:szCs w:val="21"/>
        </w:rPr>
        <w:t xml:space="preserve">gov.uk, self-employed National Insurance rates, Class 2 and Class 4 thresholds: gov.uk/self-employed-national-insurance-rates</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abstractNum w:abstractNumId="3" w15:restartNumberingAfterBreak="0">
    <w:multiLevelType w:val="hybridMultilevel"/>
    <w:lvl w:ilvl="0" w15:tentative="1">
      <w:start w:val="1"/>
      <w:numFmt w:val="decimal"/>
      <w:lvlText w:val="%1."/>
      <w:lvlJc w:val="left"/>
      <w:pPr>
        <w:ind w:left="431" w:hanging="431"/>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pBdr>
        <w:bottom w:val="single" w:color="8A1F2D" w:sz="8" w:space="4"/>
      </w:pBdr>
      <w:spacing w:after="200" w:before="420"/>
    </w:pPr>
    <w:rPr>
      <w:rFonts w:ascii="Calibri" w:cs="Calibri" w:eastAsia="Calibri" w:hAnsi="Calibri"/>
      <w:b/>
      <w:bCs/>
      <w:color w:val="1F3A5F"/>
      <w:sz w:val="30"/>
      <w:szCs w:val="30"/>
    </w:rPr>
  </w:style>
  <w:style w:type="paragraph" w:styleId="Heading2">
    <w:name w:val="Heading 2"/>
    <w:basedOn w:val="Normal"/>
    <w:next w:val="Normal"/>
    <w:qFormat/>
    <w:rPr>
      <w:rFonts w:ascii="Calibri" w:cs="Calibri" w:eastAsia="Calibri" w:hAnsi="Calibri"/>
      <w:b/>
      <w:bCs/>
      <w:color w:val="1F3A5F"/>
      <w:sz w:val="25"/>
      <w:szCs w:val="25"/>
    </w:rPr>
  </w:style>
  <w:style w:type="paragraph" w:styleId="Heading3">
    <w:name w:val="Heading 3"/>
    <w:basedOn w:val="Normal"/>
    <w:next w:val="Normal"/>
    <w:qFormat/>
    <w:rPr>
      <w:rFonts w:ascii="Calibri" w:cs="Calibri" w:eastAsia="Calibri" w:hAnsi="Calibri"/>
      <w:b/>
      <w:bCs/>
      <w:i/>
      <w:iCs/>
      <w:color w:val="8A1F2D"/>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675d32cb112a8d3af1195f652c193c5f0a6dd26.undefined"/><Relationship Id="rId8" Type="http://schemas.openxmlformats.org/officeDocument/2006/relationships/image" Target="media/d2195c3b51836906e37de3667355a45701f95c71.undefined"/><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2026-10-08T21:54:04.015Z</dcterms:created>
  <dcterms:modified xsi:type="dcterms:W3CDTF">2026-10-08T21:54:04.015Z</dcterms:modified>
</cp:coreProperties>
</file>

<file path=docProps/custom.xml><?xml version="1.0" encoding="utf-8"?>
<Properties xmlns="http://schemas.openxmlformats.org/officeDocument/2006/custom-properties" xmlns:vt="http://schemas.openxmlformats.org/officeDocument/2006/docPropsVTypes"/>
</file>