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485" w:type="dxa"/>
        <w:tblInd w:w="12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8485"/>
      </w:tblGrid>
      <w:tr w14:paraId="7C6B4AC4">
        <w:trPr>
          <w:trHeight w:val="90" w:hRule="atLeast"/>
        </w:trPr>
        <w:tc>
          <w:tcPr>
            <w:tcW w:w="8485" w:type="dxa"/>
            <w:tcBorders>
              <w:top w:val="single" w:color="auto" w:sz="12" w:space="0"/>
              <w:left w:val="single" w:color="auto" w:sz="12" w:space="0"/>
              <w:bottom w:val="single" w:color="auto" w:sz="12" w:space="0"/>
              <w:right w:val="single" w:color="auto" w:sz="12" w:space="0"/>
            </w:tcBorders>
          </w:tcPr>
          <w:p w14:paraId="698A2276">
            <w:pPr>
              <w:numPr>
                <w:ilvl w:val="0"/>
                <w:numId w:val="1"/>
              </w:numPr>
              <w:spacing w:line="240" w:lineRule="atLeast"/>
              <w:rPr>
                <w:rFonts w:ascii="仿宋" w:hAnsi="仿宋" w:eastAsia="仿宋" w:cs="微软雅黑"/>
                <w:bCs/>
                <w:sz w:val="24"/>
                <w:szCs w:val="24"/>
              </w:rPr>
            </w:pPr>
            <w:r>
              <w:rPr>
                <w:rFonts w:hint="eastAsia" w:ascii="微软雅黑" w:hAnsi="微软雅黑" w:eastAsia="微软雅黑" w:cs="微软雅黑"/>
                <w:bCs/>
                <w:sz w:val="28"/>
                <w:szCs w:val="28"/>
              </w:rPr>
              <w:t>项目研究内容及目标</w:t>
            </w:r>
            <w:r>
              <w:rPr>
                <w:rFonts w:hint="eastAsia" w:ascii="仿宋" w:hAnsi="仿宋" w:eastAsia="仿宋" w:cs="微软雅黑"/>
                <w:bCs/>
                <w:sz w:val="24"/>
                <w:szCs w:val="24"/>
              </w:rPr>
              <w:t>（说明项目研究和解决什么问题，具体有哪些研究任务，达到什么目的）</w:t>
            </w:r>
          </w:p>
          <w:p w14:paraId="0D5EC20A">
            <w:pPr>
              <w:pStyle w:val="8"/>
            </w:pPr>
            <w:r>
              <w:t>现有实验项目“基于虚拟演播室的情景教学实验项目”是培养外语人才的基础实验项目之一。情景教学实验项目通过对表演者的视频数据进行同步捕捉和渲染，是目前外语实验教学中“情景式教学法”的重要教学手段之一。</w:t>
            </w:r>
          </w:p>
          <w:p w14:paraId="12836435">
            <w:pPr>
              <w:pStyle w:val="8"/>
            </w:pPr>
            <w:r>
              <w:t>虽然，实验室现有的情景实验教学项目在一定程度上提供了情景式教学的基本条件。然而，在课堂教学中，情景式教学法的应用场景非常有限。一方面，学生并没有进行过专业的表演训练，学生们在演绎不同角色时比较拘束。很多情况下，学生不能很好地进入角色，这类问题在外文戏剧类的实验课程中尤其突出。另一方面，受限于实验室场地条件，课堂上进行服装更换、场景布置、道具准备等工作较为困难。因此，情景实验教学的展示空间非常有限。</w:t>
            </w:r>
          </w:p>
          <w:p w14:paraId="1043D20F">
            <w:pPr>
              <w:pStyle w:val="8"/>
            </w:pPr>
            <w:r>
              <w:t>在本次实验项目中，我们拟基于“AIGC视频大模型”，对现有情景实验教学系统进行AI升级。在新的实验项目中，可以实现对表演者的形象进行实时渲染和数字人的同步生成，进而实现多场景、多模态的情景实验教学。</w:t>
            </w:r>
          </w:p>
          <w:p w14:paraId="59166084">
            <w:pPr>
              <w:spacing w:line="240" w:lineRule="atLeast"/>
              <w:rPr>
                <w:rFonts w:ascii="仿宋" w:hAnsi="仿宋" w:eastAsia="仿宋" w:cs="微软雅黑"/>
                <w:bCs/>
                <w:sz w:val="24"/>
                <w:szCs w:val="24"/>
              </w:rPr>
            </w:pPr>
          </w:p>
          <w:p w14:paraId="6E91867B">
            <w:pPr>
              <w:spacing w:line="240" w:lineRule="atLeast"/>
              <w:rPr>
                <w:rFonts w:ascii="仿宋" w:hAnsi="仿宋" w:eastAsia="仿宋" w:cs="微软雅黑"/>
                <w:bCs/>
                <w:sz w:val="24"/>
                <w:szCs w:val="24"/>
              </w:rPr>
            </w:pPr>
          </w:p>
          <w:p w14:paraId="7A297277">
            <w:pPr>
              <w:spacing w:line="240" w:lineRule="atLeast"/>
              <w:rPr>
                <w:rFonts w:ascii="仿宋" w:hAnsi="仿宋" w:eastAsia="仿宋" w:cs="微软雅黑"/>
                <w:bCs/>
                <w:sz w:val="24"/>
                <w:szCs w:val="24"/>
              </w:rPr>
            </w:pPr>
          </w:p>
          <w:p w14:paraId="4CB7FC59">
            <w:pPr>
              <w:spacing w:line="240" w:lineRule="atLeast"/>
              <w:rPr>
                <w:rFonts w:ascii="仿宋" w:hAnsi="仿宋" w:eastAsia="仿宋" w:cs="微软雅黑"/>
                <w:bCs/>
                <w:sz w:val="24"/>
                <w:szCs w:val="24"/>
              </w:rPr>
            </w:pPr>
          </w:p>
          <w:p w14:paraId="3A8B88DA">
            <w:pPr>
              <w:spacing w:line="240" w:lineRule="atLeast"/>
              <w:rPr>
                <w:rFonts w:ascii="仿宋" w:hAnsi="仿宋" w:eastAsia="仿宋" w:cs="微软雅黑"/>
                <w:bCs/>
                <w:sz w:val="24"/>
                <w:szCs w:val="24"/>
              </w:rPr>
            </w:pPr>
          </w:p>
          <w:p w14:paraId="6FB65149">
            <w:pPr>
              <w:spacing w:line="240" w:lineRule="atLeast"/>
              <w:rPr>
                <w:rFonts w:ascii="仿宋" w:hAnsi="仿宋" w:eastAsia="仿宋" w:cs="微软雅黑"/>
                <w:bCs/>
                <w:sz w:val="24"/>
                <w:szCs w:val="24"/>
              </w:rPr>
            </w:pPr>
          </w:p>
        </w:tc>
      </w:tr>
      <w:tr w14:paraId="33DD14A7">
        <w:trPr>
          <w:trHeight w:val="90" w:hRule="atLeast"/>
        </w:trPr>
        <w:tc>
          <w:tcPr>
            <w:tcW w:w="8485" w:type="dxa"/>
            <w:tcBorders>
              <w:top w:val="single" w:color="auto" w:sz="12" w:space="0"/>
              <w:left w:val="single" w:color="auto" w:sz="12" w:space="0"/>
              <w:bottom w:val="single" w:color="auto" w:sz="12" w:space="0"/>
              <w:right w:val="single" w:color="auto" w:sz="12" w:space="0"/>
            </w:tcBorders>
          </w:tcPr>
          <w:p w14:paraId="50760596">
            <w:pPr>
              <w:spacing w:line="240" w:lineRule="atLeast"/>
              <w:rPr>
                <w:rFonts w:ascii="仿宋" w:hAnsi="仿宋" w:eastAsia="仿宋" w:cs="微软雅黑"/>
                <w:bCs/>
                <w:sz w:val="24"/>
                <w:szCs w:val="24"/>
              </w:rPr>
            </w:pPr>
            <w:r>
              <w:rPr>
                <w:rFonts w:hint="eastAsia" w:ascii="微软雅黑" w:hAnsi="微软雅黑" w:eastAsia="微软雅黑" w:cs="微软雅黑"/>
                <w:bCs/>
                <w:sz w:val="28"/>
                <w:szCs w:val="28"/>
              </w:rPr>
              <w:t>二、项目的思路、举措和创新点</w:t>
            </w:r>
            <w:r>
              <w:rPr>
                <w:rFonts w:hint="eastAsia" w:ascii="仿宋" w:hAnsi="仿宋" w:eastAsia="仿宋" w:cs="微软雅黑"/>
                <w:bCs/>
                <w:sz w:val="24"/>
                <w:szCs w:val="24"/>
              </w:rPr>
              <w:t>（项目拟采取的研究方法、方案和技术路线；特色和创新点等）</w:t>
            </w:r>
          </w:p>
          <w:p w14:paraId="3474DFD8">
            <w:pPr>
              <w:spacing w:line="240" w:lineRule="atLeast"/>
              <w:rPr>
                <w:rFonts w:ascii="仿宋" w:hAnsi="仿宋" w:eastAsia="仿宋" w:cs="微软雅黑"/>
                <w:bCs/>
                <w:sz w:val="24"/>
                <w:szCs w:val="24"/>
              </w:rPr>
            </w:pPr>
          </w:p>
          <w:p w14:paraId="5F9074DA">
            <w:pPr>
              <w:pStyle w:val="9"/>
            </w:pPr>
            <w:r>
              <w:t>2024年全国两会期间，“人工智能+”首次被写入政府工作报告。人工智能技术的迅猛发展，为外语实验教学带来了巨大的冲击和挑战。如何直面挑战，将人工智能技术从外语实验教学的“行业颠覆者”，变为外语实验教学的“行业重构者”，从“以人为主”到“以机为主”，进一步到“人机协同”，深入科学化、合理化地对外语实验教学模式进行改革，是目前外语实验教学中的重要挑战。</w:t>
            </w:r>
          </w:p>
          <w:p w14:paraId="68C18871">
            <w:pPr>
              <w:pStyle w:val="9"/>
            </w:pPr>
            <w:r>
              <w:t>外语类实验教学项目主要依托语言实验室开展，且大部分实验教学项目停留于听、说、读、写、译的传统计算机辅助教学手段。口语实验教学作为其中重要的组成部分，在很大程度上依赖语言实验教学环境。随着信息技术的不断发展，语言学习环境的更新迭代，传统的实验教学项目已经无法满足学生日益增长的口语学习需求。</w:t>
            </w:r>
          </w:p>
          <w:p w14:paraId="0029EE53">
            <w:pPr>
              <w:pStyle w:val="9"/>
            </w:pPr>
            <w:r>
              <w:t>在传统的实验教学基础上，中心实验教师开设了多个新的实验教学项目。这些新的实验教学项目，在一定程度上启发了学生的口语学习热情。随着信息技术的不断发展，人工智能技术已经产生了对传统外语教学模式的巨大颠覆性变革。在实验教学中，教师往往对口语教学存在困惑。大学英语实验课程所面向的学生基础都比较薄弱，学生们的英语水平在很大程度上存在“哑巴英语”的问题。因此，在此次实验项目中，我们拟重点解决如何依依托人工智能技术，提升学生的口语表达能力和口语综合技能的问题。</w:t>
            </w:r>
          </w:p>
          <w:p w14:paraId="471A60C1">
            <w:pPr>
              <w:pStyle w:val="9"/>
            </w:pPr>
            <w:r>
              <w:t>本实验项目的主要实施方案如下：</w:t>
            </w:r>
          </w:p>
          <w:p w14:paraId="1FCCD931">
            <w:pPr>
              <w:pStyle w:val="9"/>
            </w:pPr>
            <w:r>
              <w:t xml:space="preserve"> </w:t>
            </w:r>
          </w:p>
          <w:p w14:paraId="2341BCA6">
            <w:pPr>
              <w:pStyle w:val="9"/>
            </w:pPr>
            <w:r>
              <w:rPr>
                <w:b/>
              </w:rPr>
              <w:t>1.软硬件基础条件建设</w:t>
            </w:r>
          </w:p>
          <w:p w14:paraId="7118E074">
            <w:pPr>
              <w:pStyle w:val="9"/>
            </w:pPr>
            <w:r>
              <w:t>在现有的情景实验教学软硬件环境的基础上，搭建基于AIGC引擎的数字人实时生成环境。相较于其他动作捕捉类视频生成应用，AIGC引擎的建设成本及环境要求相对较低。</w:t>
            </w:r>
          </w:p>
          <w:p w14:paraId="15DAEA6C">
            <w:pPr>
              <w:pStyle w:val="9"/>
            </w:pPr>
            <w:r>
              <w:t>（1）现有情景实验教学环境升级改造。由于基于AIGC引擎进行视频制作的环境条件要求较低，我们拟在原有绿幕环境的基础上，适当增加补光设备、视频处理器等硬件，进而获取更好的视频抠像和AIGC数字人生成效果。</w:t>
            </w:r>
          </w:p>
          <w:p w14:paraId="40802576">
            <w:pPr>
              <w:pStyle w:val="9"/>
            </w:pPr>
            <w:r>
              <w:t xml:space="preserve"> </w:t>
            </w:r>
          </w:p>
          <w:p w14:paraId="575785EF">
            <w:pPr>
              <w:pStyle w:val="9"/>
            </w:pPr>
            <w:r>
              <w:drawing>
                <wp:inline distT="0" distB="0" distL="0" distR="0">
                  <wp:extent cx="3714750" cy="2400300"/>
                  <wp:effectExtent l="0" t="0" r="19050" b="12700"/>
                  <wp:docPr id="3" name="Drawing 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img"/>
                          <pic:cNvPicPr>
                            <a:picLocks noChangeAspect="1"/>
                          </pic:cNvPicPr>
                        </pic:nvPicPr>
                        <pic:blipFill>
                          <a:blip r:embed="rId6"/>
                          <a:stretch>
                            <a:fillRect/>
                          </a:stretch>
                        </pic:blipFill>
                        <pic:spPr>
                          <a:xfrm>
                            <a:off x="0" y="0"/>
                            <a:ext cx="3714750" cy="2400300"/>
                          </a:xfrm>
                          <a:prstGeom prst="rect">
                            <a:avLst/>
                          </a:prstGeom>
                        </pic:spPr>
                      </pic:pic>
                    </a:graphicData>
                  </a:graphic>
                </wp:inline>
              </w:drawing>
            </w:r>
            <w:r>
              <w:drawing>
                <wp:inline distT="0" distB="0" distL="0" distR="0">
                  <wp:extent cx="3790950" cy="2400300"/>
                  <wp:effectExtent l="0" t="0" r="19050" b="12700"/>
                  <wp:docPr id="4" name="Drawing 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4" descr="img"/>
                          <pic:cNvPicPr>
                            <a:picLocks noChangeAspect="1"/>
                          </pic:cNvPicPr>
                        </pic:nvPicPr>
                        <pic:blipFill>
                          <a:blip r:embed="rId7"/>
                          <a:stretch>
                            <a:fillRect/>
                          </a:stretch>
                        </pic:blipFill>
                        <pic:spPr>
                          <a:xfrm>
                            <a:off x="0" y="0"/>
                            <a:ext cx="3790950" cy="2400300"/>
                          </a:xfrm>
                          <a:prstGeom prst="rect">
                            <a:avLst/>
                          </a:prstGeom>
                        </pic:spPr>
                      </pic:pic>
                    </a:graphicData>
                  </a:graphic>
                </wp:inline>
              </w:drawing>
            </w:r>
          </w:p>
          <w:p w14:paraId="0D0A51A9">
            <w:pPr>
              <w:pStyle w:val="9"/>
            </w:pPr>
            <w:r>
              <w:rPr>
                <w:b/>
              </w:rPr>
              <w:t>图 情景虚拟仿真实验教学场景</w:t>
            </w:r>
          </w:p>
          <w:p w14:paraId="2F7A22A4">
            <w:pPr>
              <w:pStyle w:val="9"/>
            </w:pPr>
            <w:r>
              <w:t>（2）AI数据处理能力部署。由于AIGC引擎及配套应用平台需要基本的图形处理能力，在实验室现有的图形工作系统中适当调配满足其计算要求的图形工作站。本实验项目中，考虑搭建CUDA核心&gt;=3500，且显存&gt;=8GB的单工作站环境（Windows 11操作环境）。</w:t>
            </w:r>
          </w:p>
          <w:p w14:paraId="70A9DF69">
            <w:pPr>
              <w:pStyle w:val="9"/>
            </w:pPr>
            <w:r>
              <w:t xml:space="preserve"> </w:t>
            </w:r>
          </w:p>
          <w:p w14:paraId="26450519">
            <w:pPr>
              <w:pStyle w:val="9"/>
            </w:pPr>
            <w:r>
              <w:drawing>
                <wp:inline distT="0" distB="0" distL="0" distR="0">
                  <wp:extent cx="3714750" cy="2286000"/>
                  <wp:effectExtent l="0" t="0" r="19050" b="0"/>
                  <wp:docPr id="5" name="Drawing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5" descr="img"/>
                          <pic:cNvPicPr>
                            <a:picLocks noChangeAspect="1"/>
                          </pic:cNvPicPr>
                        </pic:nvPicPr>
                        <pic:blipFill>
                          <a:blip r:embed="rId8"/>
                          <a:stretch>
                            <a:fillRect/>
                          </a:stretch>
                        </pic:blipFill>
                        <pic:spPr>
                          <a:xfrm>
                            <a:off x="0" y="0"/>
                            <a:ext cx="3714750" cy="2286000"/>
                          </a:xfrm>
                          <a:prstGeom prst="rect">
                            <a:avLst/>
                          </a:prstGeom>
                        </pic:spPr>
                      </pic:pic>
                    </a:graphicData>
                  </a:graphic>
                </wp:inline>
              </w:drawing>
            </w:r>
          </w:p>
          <w:p w14:paraId="5B2C15B7">
            <w:pPr>
              <w:pStyle w:val="9"/>
            </w:pPr>
            <w:r>
              <w:rPr>
                <w:b/>
              </w:rPr>
              <w:t>图 AIGC平台测试环境</w:t>
            </w:r>
          </w:p>
          <w:p w14:paraId="1FA06801">
            <w:pPr>
              <w:pStyle w:val="9"/>
            </w:pPr>
            <w:r>
              <w:t>（3）情景虚拟仿真实验教学系统调试：该套系统为语言实验室现有的情景式教学系统。需要在原有系统基础上进行AIGC的适配，包括音视频流处理，效果器调试，HDMI、DP数字信号适配，视频采集卡适配等。</w:t>
            </w:r>
          </w:p>
          <w:p w14:paraId="47E6E342">
            <w:pPr>
              <w:pStyle w:val="9"/>
            </w:pPr>
            <w:r>
              <w:t>（4）AIGC引擎及应用平台部署、AI算法适配：在本项目前期工作中，我们已经在测试版系统中对数字人生成的可行性和有效性进行了测试。在原有的情景实验教学系统基础上，集成AIGC数字引擎及配套应用系统，可以实现虚拟情景下的AIGC数字人仿真语言练习。</w:t>
            </w:r>
          </w:p>
          <w:p w14:paraId="36119024">
            <w:pPr>
              <w:pStyle w:val="9"/>
            </w:pPr>
            <w:r>
              <w:t xml:space="preserve"> </w:t>
            </w:r>
          </w:p>
          <w:p w14:paraId="06C9C8EE">
            <w:pPr>
              <w:pStyle w:val="9"/>
            </w:pPr>
            <w:r>
              <w:drawing>
                <wp:inline distT="0" distB="0" distL="0" distR="0">
                  <wp:extent cx="3848100" cy="2209800"/>
                  <wp:effectExtent l="0" t="0" r="12700" b="0"/>
                  <wp:docPr id="6" name="Drawing 6"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6" descr="img"/>
                          <pic:cNvPicPr>
                            <a:picLocks noChangeAspect="1"/>
                          </pic:cNvPicPr>
                        </pic:nvPicPr>
                        <pic:blipFill>
                          <a:blip r:embed="rId9"/>
                          <a:stretch>
                            <a:fillRect/>
                          </a:stretch>
                        </pic:blipFill>
                        <pic:spPr>
                          <a:xfrm>
                            <a:off x="0" y="0"/>
                            <a:ext cx="3848100" cy="2209800"/>
                          </a:xfrm>
                          <a:prstGeom prst="rect">
                            <a:avLst/>
                          </a:prstGeom>
                        </pic:spPr>
                      </pic:pic>
                    </a:graphicData>
                  </a:graphic>
                </wp:inline>
              </w:drawing>
            </w:r>
            <w:r>
              <w:drawing>
                <wp:inline distT="0" distB="0" distL="0" distR="0">
                  <wp:extent cx="3695700" cy="2190750"/>
                  <wp:effectExtent l="0" t="0" r="12700" b="19050"/>
                  <wp:docPr id="7" name="Drawing 7"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7" descr="img"/>
                          <pic:cNvPicPr>
                            <a:picLocks noChangeAspect="1"/>
                          </pic:cNvPicPr>
                        </pic:nvPicPr>
                        <pic:blipFill>
                          <a:blip r:embed="rId10"/>
                          <a:stretch>
                            <a:fillRect/>
                          </a:stretch>
                        </pic:blipFill>
                        <pic:spPr>
                          <a:xfrm>
                            <a:off x="0" y="0"/>
                            <a:ext cx="3695700" cy="2190750"/>
                          </a:xfrm>
                          <a:prstGeom prst="rect">
                            <a:avLst/>
                          </a:prstGeom>
                        </pic:spPr>
                      </pic:pic>
                    </a:graphicData>
                  </a:graphic>
                </wp:inline>
              </w:drawing>
            </w:r>
            <w:r>
              <w:drawing>
                <wp:inline distT="0" distB="0" distL="0" distR="0">
                  <wp:extent cx="3733800" cy="2305050"/>
                  <wp:effectExtent l="0" t="0" r="0" b="6350"/>
                  <wp:docPr id="8" name="Drawing 8"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8" descr="img"/>
                          <pic:cNvPicPr>
                            <a:picLocks noChangeAspect="1"/>
                          </pic:cNvPicPr>
                        </pic:nvPicPr>
                        <pic:blipFill>
                          <a:blip r:embed="rId11"/>
                          <a:stretch>
                            <a:fillRect/>
                          </a:stretch>
                        </pic:blipFill>
                        <pic:spPr>
                          <a:xfrm>
                            <a:off x="0" y="0"/>
                            <a:ext cx="3733800" cy="2305050"/>
                          </a:xfrm>
                          <a:prstGeom prst="rect">
                            <a:avLst/>
                          </a:prstGeom>
                        </pic:spPr>
                      </pic:pic>
                    </a:graphicData>
                  </a:graphic>
                </wp:inline>
              </w:drawing>
            </w:r>
          </w:p>
          <w:p w14:paraId="2A45F485">
            <w:pPr>
              <w:pStyle w:val="9"/>
            </w:pPr>
            <w:r>
              <w:rPr>
                <w:b/>
              </w:rPr>
              <w:t>图 AIGC引擎部署和模拟示范场景</w:t>
            </w:r>
          </w:p>
          <w:p w14:paraId="42A54FA4">
            <w:pPr>
              <w:pStyle w:val="9"/>
            </w:pPr>
            <w:r>
              <w:t xml:space="preserve"> </w:t>
            </w:r>
          </w:p>
          <w:p w14:paraId="5322B3B7">
            <w:pPr>
              <w:pStyle w:val="9"/>
            </w:pPr>
            <w:r>
              <w:rPr>
                <w:b/>
              </w:rPr>
              <w:t>2.实验项目实施</w:t>
            </w:r>
          </w:p>
          <w:p w14:paraId="5AD54184">
            <w:pPr>
              <w:pStyle w:val="9"/>
            </w:pPr>
            <w:r>
              <w:t>在完成AIGC数字人仿真系统的部署后，进一步实施实验项目的实施步骤和实验大纲设计。在本实验项目中，主要采用“课前准备+课中实验+课后自评+教师综合评测+AI评测”的实验教学模式，具体如下：</w:t>
            </w:r>
          </w:p>
          <w:p w14:paraId="653AF931">
            <w:pPr>
              <w:pStyle w:val="9"/>
            </w:pPr>
            <w:r>
              <w:t>课前准备：由于基于AIGC的虚拟仿真实验教学项目具有一定的专业操作能力要求，在实验课程正式开始前，将安排一定的配套自主训练实验学时。实验教辅老师协助学生熟悉系统环境和使用规则，并进行对应的参数适配和调试。实验任课教师在课前布置对应的课程主题，供学生选择和完成实验准备。</w:t>
            </w:r>
          </w:p>
          <w:p w14:paraId="1CA983AD">
            <w:pPr>
              <w:pStyle w:val="9"/>
            </w:pPr>
            <w:r>
              <w:t>课中实验：实验教师负责讲解AIGC和虚拟数字人的相关基础知识，以及基于实验环境开展口语实验训练项目的实验要求和目标。例如，在AIGC环境下的站位，肢体语言，以及研讨发言技巧和注意事项，学术会议报告时的相关规范等等。学生在实验教师和教辅老师的协助下，进入AIGC实验环境，按课前准备的内容进行实验。</w:t>
            </w:r>
          </w:p>
          <w:p w14:paraId="6D7A3DD8">
            <w:pPr>
              <w:pStyle w:val="9"/>
            </w:pPr>
            <w:r>
              <w:t>课后自评和互评：课后，学生可以在资源平台观摩实验过程和其他相关资料，学生可对此次实验进行自我评价和互评。</w:t>
            </w:r>
          </w:p>
          <w:p w14:paraId="7DA055AC">
            <w:pPr>
              <w:pStyle w:val="9"/>
            </w:pPr>
            <w:r>
              <w:t>教师综合评价：实验教师根据学生的实验情况，自评、互评结果，进行综合性评价，并指出学生实验过程的问题和不足，尤其是在口语能力表达方面的缺陷，如表达流畅性、词法语法问题、发音问题等等。</w:t>
            </w:r>
          </w:p>
          <w:p w14:paraId="0DBD2FBF">
            <w:pPr>
              <w:pStyle w:val="9"/>
            </w:pPr>
            <w:r>
              <w:t>AI评测：在此次实验项目中，将由AI系统对学生的口语能力进行分析和评价。在评价体系中，同步加入AI测评的评价结果。</w:t>
            </w:r>
          </w:p>
          <w:p w14:paraId="46233C4A">
            <w:pPr>
              <w:pStyle w:val="9"/>
            </w:pPr>
            <w:r>
              <w:rPr>
                <w:b/>
              </w:rPr>
              <w:t xml:space="preserve"> </w:t>
            </w:r>
          </w:p>
          <w:p w14:paraId="62B94E29">
            <w:pPr>
              <w:pStyle w:val="9"/>
            </w:pPr>
            <w:r>
              <w:rPr>
                <w:b/>
              </w:rPr>
              <w:t>3.实验考核机制</w:t>
            </w:r>
          </w:p>
          <w:p w14:paraId="18B026EC">
            <w:pPr>
              <w:pStyle w:val="9"/>
            </w:pPr>
            <w:r>
              <w:t>在基于AIGC的情景实验教学项目中，主要培养学生的口头交流能力，学生完成教师规定的口语任务，根据任务完成度得分。实验考核的分数包括以下几部分：</w:t>
            </w:r>
          </w:p>
          <w:p w14:paraId="6BF2EC5F">
            <w:pPr>
              <w:pStyle w:val="9"/>
            </w:pPr>
            <w:r>
              <w:t>AI系统测评（占总成绩的30%）：要求学生能准确掌握英语交流的口头表达，在不同语境下选择相应的内容、表情、体态等。系统将根据流利度、节奏、发音、内容适合度、体态适合度等自动给出分数。</w:t>
            </w:r>
          </w:p>
          <w:p w14:paraId="1DB2AB52">
            <w:pPr>
              <w:pStyle w:val="9"/>
            </w:pPr>
            <w:r>
              <w:t>教师给分（占总成绩的30%）：教师根据现场具体情况给出考评分数。</w:t>
            </w:r>
          </w:p>
          <w:p w14:paraId="34ECA096">
            <w:pPr>
              <w:pStyle w:val="9"/>
            </w:pPr>
            <w:r>
              <w:t>学生自评（占总成绩的20%）：学生根据实验情况，自我评价。</w:t>
            </w:r>
          </w:p>
          <w:p w14:paraId="643939E7">
            <w:pPr>
              <w:pStyle w:val="9"/>
            </w:pPr>
            <w:r>
              <w:t>学生互评（占总成绩的20%）：学生对其他分组的实验进行评价，给出分数。</w:t>
            </w:r>
          </w:p>
          <w:p w14:paraId="37431258">
            <w:pPr>
              <w:pStyle w:val="9"/>
            </w:pPr>
            <w:r>
              <w:rPr>
                <w:b/>
              </w:rPr>
              <w:t xml:space="preserve"> </w:t>
            </w:r>
          </w:p>
          <w:p w14:paraId="6D7E7DF9">
            <w:pPr>
              <w:pStyle w:val="9"/>
            </w:pPr>
          </w:p>
          <w:p w14:paraId="02434C4E">
            <w:pPr>
              <w:spacing w:line="240" w:lineRule="atLeast"/>
              <w:rPr>
                <w:rFonts w:ascii="仿宋" w:hAnsi="仿宋" w:eastAsia="仿宋" w:cs="微软雅黑"/>
                <w:bCs/>
                <w:sz w:val="24"/>
                <w:szCs w:val="24"/>
              </w:rPr>
            </w:pPr>
          </w:p>
          <w:p w14:paraId="113D218F">
            <w:pPr>
              <w:spacing w:line="240" w:lineRule="atLeast"/>
              <w:rPr>
                <w:rFonts w:ascii="仿宋" w:hAnsi="仿宋" w:eastAsia="仿宋" w:cs="微软雅黑"/>
                <w:bCs/>
                <w:sz w:val="24"/>
                <w:szCs w:val="24"/>
              </w:rPr>
            </w:pPr>
          </w:p>
          <w:p w14:paraId="534EC4A0">
            <w:pPr>
              <w:spacing w:line="240" w:lineRule="atLeast"/>
              <w:rPr>
                <w:rFonts w:ascii="仿宋" w:hAnsi="仿宋" w:eastAsia="仿宋" w:cs="微软雅黑"/>
                <w:bCs/>
                <w:sz w:val="24"/>
                <w:szCs w:val="24"/>
              </w:rPr>
            </w:pPr>
          </w:p>
          <w:p w14:paraId="3EE3A93A">
            <w:pPr>
              <w:spacing w:line="240" w:lineRule="atLeast"/>
              <w:rPr>
                <w:rFonts w:ascii="仿宋" w:hAnsi="仿宋" w:eastAsia="仿宋" w:cs="微软雅黑"/>
                <w:bCs/>
                <w:sz w:val="24"/>
                <w:szCs w:val="24"/>
              </w:rPr>
            </w:pPr>
          </w:p>
          <w:p w14:paraId="66B8CDD6">
            <w:pPr>
              <w:spacing w:line="240" w:lineRule="atLeast"/>
              <w:rPr>
                <w:rFonts w:ascii="仿宋" w:hAnsi="仿宋" w:eastAsia="仿宋" w:cs="微软雅黑"/>
                <w:bCs/>
                <w:sz w:val="24"/>
                <w:szCs w:val="24"/>
              </w:rPr>
            </w:pPr>
          </w:p>
        </w:tc>
      </w:tr>
      <w:tr w14:paraId="1E26D237">
        <w:trPr>
          <w:trHeight w:val="90" w:hRule="atLeast"/>
        </w:trPr>
        <w:tc>
          <w:tcPr>
            <w:tcW w:w="8485" w:type="dxa"/>
            <w:tcBorders>
              <w:top w:val="single" w:color="auto" w:sz="12" w:space="0"/>
              <w:left w:val="single" w:color="auto" w:sz="12" w:space="0"/>
              <w:bottom w:val="single" w:color="auto" w:sz="12" w:space="0"/>
              <w:right w:val="single" w:color="auto" w:sz="12" w:space="0"/>
            </w:tcBorders>
          </w:tcPr>
          <w:p w14:paraId="7C22316A">
            <w:pPr>
              <w:spacing w:line="240" w:lineRule="atLeast"/>
              <w:rPr>
                <w:rFonts w:ascii="仿宋" w:hAnsi="仿宋" w:eastAsia="仿宋" w:cs="微软雅黑"/>
                <w:bCs/>
                <w:sz w:val="24"/>
                <w:szCs w:val="24"/>
              </w:rPr>
            </w:pPr>
            <w:r>
              <w:rPr>
                <w:rFonts w:hint="eastAsia" w:ascii="微软雅黑" w:hAnsi="微软雅黑" w:eastAsia="微软雅黑" w:cs="微软雅黑"/>
                <w:bCs/>
                <w:sz w:val="28"/>
                <w:szCs w:val="28"/>
              </w:rPr>
              <w:t>三、项目工作基础及条件保障</w:t>
            </w:r>
            <w:r>
              <w:rPr>
                <w:rFonts w:hint="eastAsia" w:ascii="仿宋" w:hAnsi="仿宋" w:eastAsia="仿宋" w:cs="微软雅黑"/>
                <w:bCs/>
                <w:sz w:val="24"/>
                <w:szCs w:val="24"/>
              </w:rPr>
              <w:t>（与本项目相关的前期工作基础、条件保障等）</w:t>
            </w:r>
          </w:p>
          <w:p w14:paraId="2FFAB249">
            <w:pPr>
              <w:pStyle w:val="10"/>
            </w:pPr>
            <w:r>
              <w:rPr>
                <w:b/>
              </w:rPr>
              <w:t>1.工作基础</w:t>
            </w:r>
          </w:p>
          <w:p w14:paraId="51089B1E">
            <w:pPr>
              <w:pStyle w:val="10"/>
            </w:pPr>
            <w:r>
              <w:t>口语训练作为外语实验教学的重要组成部分，对充分提高学生的表达能力、熟练掌握外语技能有非常关键的作用。在传统的口语实验教学中，通常以PC架构的语言实验室为主。这种传统的实验教学环境在很长一段时间内为高校的口语实验教学提供了基本条件。然而，随着信息技术的不断发展，尤其是人工智能技术带来的技术飞跃，为新的语言教学模式带了更多的想象空间。基于AIGC大模型，对情景语言教学项目进行升级改造，能够在最大程度上利用现有实验条件的同时，与最新的人工智能技术接轨。新的实验项目能够在较大程度上提高学生的学习热情和表达欲望，在口语实验教学中为实验教师提供新的条件。</w:t>
            </w:r>
          </w:p>
          <w:p w14:paraId="27C074B5">
            <w:pPr>
              <w:pStyle w:val="10"/>
            </w:pPr>
            <w:r>
              <w:t>拟申报的实验项目采用了新的实验方法技术，即基于AIGC数字人技术，实现外语口语的情景化教学。项目将重点突出数字化、智能化、信息化的特点，实现“人机协同”的个性化教学模式。增加学生的参与度和自主学习能力，重点培养学生的综合素养和口语表达能力。在本项目前期工作中，我们已经在试用版系统中对数字人生成的可行性和有效性进行了测试。并对项目的可行性进行了分析，并进行试用环境的测试。</w:t>
            </w:r>
          </w:p>
          <w:p w14:paraId="2EBDD568">
            <w:pPr>
              <w:pStyle w:val="10"/>
            </w:pPr>
            <w:r>
              <w:t xml:space="preserve"> </w:t>
            </w:r>
          </w:p>
          <w:p w14:paraId="787DD8E8">
            <w:pPr>
              <w:pStyle w:val="10"/>
            </w:pPr>
            <w:r>
              <w:rPr>
                <w:b/>
              </w:rPr>
              <w:t>2.条件保障</w:t>
            </w:r>
          </w:p>
          <w:p w14:paraId="17FC1AFB">
            <w:pPr>
              <w:pStyle w:val="10"/>
            </w:pPr>
            <w:r>
              <w:t>实验项目采用的AIGC技术依赖的硬件设备和情景教学环境成本相对较低，具有较强的迁移特性。通过该实验项目的开放共享实施，可以更好地增加省内高校学生的外语学习兴趣，增加语言自信，增强语言语感。充分在实验教学中拥抱人工智能，为培养学科人才提供基础条件。</w:t>
            </w:r>
            <w:bookmarkStart w:id="0" w:name="_GoBack"/>
            <w:bookmarkEnd w:id="0"/>
          </w:p>
          <w:p w14:paraId="0706F624">
            <w:pPr>
              <w:pStyle w:val="10"/>
            </w:pPr>
            <w:r>
              <w:t>本次申报的实验项目依示范中心开展。中心面向全校开展外语实验教学工作，现有硬件条件完备，具备开展本实验项目的基本条件。此外，中心现有专职实验技术人员7人，专职负责实验教学支持和实验管理工作，有充分的人员保障。</w:t>
            </w:r>
          </w:p>
          <w:p w14:paraId="2EB375C7">
            <w:pPr>
              <w:spacing w:line="240" w:lineRule="atLeast"/>
              <w:rPr>
                <w:rFonts w:ascii="仿宋" w:hAnsi="仿宋" w:eastAsia="仿宋" w:cs="微软雅黑"/>
                <w:bCs/>
                <w:sz w:val="24"/>
                <w:szCs w:val="24"/>
              </w:rPr>
            </w:pPr>
          </w:p>
          <w:p w14:paraId="66194FD9">
            <w:pPr>
              <w:spacing w:line="240" w:lineRule="atLeast"/>
              <w:rPr>
                <w:rFonts w:ascii="仿宋" w:hAnsi="仿宋" w:eastAsia="仿宋" w:cs="微软雅黑"/>
                <w:bCs/>
                <w:sz w:val="24"/>
                <w:szCs w:val="24"/>
              </w:rPr>
            </w:pPr>
          </w:p>
          <w:p w14:paraId="1DB7C63A">
            <w:pPr>
              <w:spacing w:line="240" w:lineRule="atLeast"/>
              <w:rPr>
                <w:rFonts w:ascii="仿宋" w:hAnsi="仿宋" w:eastAsia="仿宋" w:cs="微软雅黑"/>
                <w:bCs/>
                <w:sz w:val="24"/>
                <w:szCs w:val="24"/>
              </w:rPr>
            </w:pPr>
          </w:p>
          <w:p w14:paraId="5865C6E5">
            <w:pPr>
              <w:spacing w:line="240" w:lineRule="atLeast"/>
              <w:rPr>
                <w:rFonts w:ascii="仿宋" w:hAnsi="仿宋" w:eastAsia="仿宋" w:cs="微软雅黑"/>
                <w:bCs/>
                <w:sz w:val="24"/>
                <w:szCs w:val="24"/>
              </w:rPr>
            </w:pPr>
          </w:p>
          <w:p w14:paraId="770098DE">
            <w:pPr>
              <w:spacing w:line="240" w:lineRule="atLeast"/>
              <w:rPr>
                <w:rFonts w:ascii="仿宋" w:hAnsi="仿宋" w:eastAsia="仿宋" w:cs="微软雅黑"/>
                <w:bCs/>
                <w:sz w:val="24"/>
                <w:szCs w:val="24"/>
              </w:rPr>
            </w:pPr>
          </w:p>
          <w:p w14:paraId="4B80D506">
            <w:pPr>
              <w:spacing w:line="240" w:lineRule="atLeast"/>
              <w:rPr>
                <w:rFonts w:ascii="微软雅黑" w:hAnsi="微软雅黑" w:eastAsia="微软雅黑" w:cs="微软雅黑"/>
                <w:bCs/>
                <w:sz w:val="28"/>
                <w:szCs w:val="28"/>
              </w:rPr>
            </w:pPr>
          </w:p>
        </w:tc>
      </w:tr>
      <w:tr w14:paraId="285BF55F">
        <w:trPr>
          <w:trHeight w:val="90" w:hRule="atLeast"/>
        </w:trPr>
        <w:tc>
          <w:tcPr>
            <w:tcW w:w="8485" w:type="dxa"/>
            <w:tcBorders>
              <w:top w:val="single" w:color="auto" w:sz="12" w:space="0"/>
              <w:left w:val="single" w:color="auto" w:sz="12" w:space="0"/>
              <w:bottom w:val="single" w:color="auto" w:sz="12" w:space="0"/>
              <w:right w:val="single" w:color="auto" w:sz="12" w:space="0"/>
            </w:tcBorders>
          </w:tcPr>
          <w:p w14:paraId="69E6C0B1">
            <w:pPr>
              <w:spacing w:line="240" w:lineRule="atLeast"/>
              <w:rPr>
                <w:rFonts w:ascii="微软雅黑" w:hAnsi="微软雅黑" w:eastAsia="微软雅黑" w:cs="微软雅黑"/>
                <w:bCs/>
                <w:sz w:val="28"/>
                <w:szCs w:val="28"/>
              </w:rPr>
            </w:pPr>
            <w:r>
              <w:rPr>
                <w:rFonts w:hint="eastAsia" w:ascii="微软雅黑" w:hAnsi="微软雅黑" w:eastAsia="微软雅黑" w:cs="微软雅黑"/>
                <w:bCs/>
                <w:sz w:val="28"/>
                <w:szCs w:val="28"/>
              </w:rPr>
              <w:t>四、项目进度计划</w:t>
            </w:r>
          </w:p>
          <w:p w14:paraId="3EB62818">
            <w:pPr>
              <w:pStyle w:val="11"/>
            </w:pPr>
            <w:r>
              <w:t>2025年5月-7月 项目可行性测试，分析，和调研。完成测试环境的搭建和部署。</w:t>
            </w:r>
          </w:p>
          <w:p w14:paraId="03442754">
            <w:pPr>
              <w:pStyle w:val="11"/>
            </w:pPr>
            <w:r>
              <w:t>2025年8月-2026年3月 项目正式环境搭建，测试。对实验项目进行验证和分析。</w:t>
            </w:r>
          </w:p>
          <w:p w14:paraId="0A9D9620">
            <w:pPr>
              <w:pStyle w:val="11"/>
            </w:pPr>
            <w:r>
              <w:t>2026年4月-6月 对实验项目进行评价和分析，完成验收材料和数据材料的收集。</w:t>
            </w:r>
          </w:p>
          <w:p w14:paraId="27E1E3FE">
            <w:pPr>
              <w:spacing w:line="240" w:lineRule="atLeast"/>
              <w:rPr>
                <w:rFonts w:ascii="微软雅黑" w:hAnsi="微软雅黑" w:eastAsia="微软雅黑" w:cs="微软雅黑"/>
                <w:bCs/>
                <w:sz w:val="28"/>
                <w:szCs w:val="28"/>
              </w:rPr>
            </w:pPr>
          </w:p>
          <w:p w14:paraId="7F9EA074">
            <w:pPr>
              <w:spacing w:line="240" w:lineRule="atLeast"/>
              <w:rPr>
                <w:rFonts w:ascii="微软雅黑" w:hAnsi="微软雅黑" w:eastAsia="微软雅黑" w:cs="微软雅黑"/>
                <w:bCs/>
                <w:sz w:val="28"/>
                <w:szCs w:val="28"/>
              </w:rPr>
            </w:pPr>
          </w:p>
          <w:p w14:paraId="55382FF8">
            <w:pPr>
              <w:spacing w:line="240" w:lineRule="atLeast"/>
              <w:rPr>
                <w:rFonts w:ascii="微软雅黑" w:hAnsi="微软雅黑" w:eastAsia="微软雅黑" w:cs="微软雅黑"/>
                <w:bCs/>
                <w:sz w:val="28"/>
                <w:szCs w:val="28"/>
              </w:rPr>
            </w:pPr>
          </w:p>
          <w:p w14:paraId="2E6B3B98">
            <w:pPr>
              <w:spacing w:line="240" w:lineRule="atLeast"/>
              <w:rPr>
                <w:rFonts w:ascii="微软雅黑" w:hAnsi="微软雅黑" w:eastAsia="微软雅黑" w:cs="微软雅黑"/>
                <w:bCs/>
                <w:sz w:val="28"/>
                <w:szCs w:val="28"/>
              </w:rPr>
            </w:pPr>
          </w:p>
          <w:p w14:paraId="402724A4">
            <w:pPr>
              <w:spacing w:line="240" w:lineRule="atLeast"/>
              <w:rPr>
                <w:rFonts w:ascii="微软雅黑" w:hAnsi="微软雅黑" w:eastAsia="微软雅黑" w:cs="微软雅黑"/>
                <w:bCs/>
                <w:sz w:val="28"/>
                <w:szCs w:val="28"/>
              </w:rPr>
            </w:pPr>
          </w:p>
          <w:p w14:paraId="633241EE">
            <w:pPr>
              <w:spacing w:line="240" w:lineRule="atLeast"/>
              <w:rPr>
                <w:rFonts w:ascii="微软雅黑" w:hAnsi="微软雅黑" w:eastAsia="微软雅黑" w:cs="微软雅黑"/>
                <w:bCs/>
                <w:sz w:val="28"/>
                <w:szCs w:val="28"/>
              </w:rPr>
            </w:pPr>
          </w:p>
          <w:p w14:paraId="288F1E94">
            <w:pPr>
              <w:spacing w:line="240" w:lineRule="atLeast"/>
              <w:rPr>
                <w:rFonts w:ascii="微软雅黑" w:hAnsi="微软雅黑" w:eastAsia="微软雅黑" w:cs="微软雅黑"/>
                <w:bCs/>
                <w:sz w:val="28"/>
                <w:szCs w:val="28"/>
              </w:rPr>
            </w:pPr>
          </w:p>
          <w:p w14:paraId="6BC088B7">
            <w:pPr>
              <w:spacing w:line="240" w:lineRule="atLeast"/>
              <w:rPr>
                <w:rFonts w:ascii="微软雅黑" w:hAnsi="微软雅黑" w:eastAsia="微软雅黑" w:cs="微软雅黑"/>
                <w:bCs/>
                <w:sz w:val="28"/>
                <w:szCs w:val="28"/>
              </w:rPr>
            </w:pPr>
          </w:p>
          <w:p w14:paraId="3D724878">
            <w:pPr>
              <w:spacing w:line="240" w:lineRule="atLeast"/>
              <w:rPr>
                <w:rFonts w:ascii="微软雅黑" w:hAnsi="微软雅黑" w:eastAsia="微软雅黑" w:cs="微软雅黑"/>
                <w:bCs/>
                <w:sz w:val="28"/>
                <w:szCs w:val="28"/>
              </w:rPr>
            </w:pPr>
          </w:p>
          <w:p w14:paraId="0F268A3B">
            <w:pPr>
              <w:spacing w:line="240" w:lineRule="atLeast"/>
              <w:rPr>
                <w:rFonts w:ascii="微软雅黑" w:hAnsi="微软雅黑" w:eastAsia="微软雅黑" w:cs="微软雅黑"/>
                <w:bCs/>
                <w:sz w:val="28"/>
                <w:szCs w:val="28"/>
              </w:rPr>
            </w:pPr>
          </w:p>
        </w:tc>
      </w:tr>
      <w:tr w14:paraId="349ADF0C">
        <w:trPr>
          <w:trHeight w:val="7595" w:hRule="atLeast"/>
        </w:trPr>
        <w:tc>
          <w:tcPr>
            <w:tcW w:w="8485" w:type="dxa"/>
            <w:tcBorders>
              <w:top w:val="single" w:color="auto" w:sz="12" w:space="0"/>
              <w:left w:val="single" w:color="auto" w:sz="12" w:space="0"/>
              <w:bottom w:val="single" w:color="auto" w:sz="12" w:space="0"/>
              <w:right w:val="single" w:color="auto" w:sz="12" w:space="0"/>
            </w:tcBorders>
          </w:tcPr>
          <w:p w14:paraId="51FE5E85">
            <w:pPr>
              <w:spacing w:line="500" w:lineRule="exact"/>
              <w:rPr>
                <w:rFonts w:ascii="微软雅黑" w:hAnsi="微软雅黑" w:eastAsia="微软雅黑" w:cs="微软雅黑"/>
                <w:sz w:val="28"/>
              </w:rPr>
            </w:pPr>
            <w:r>
              <w:rPr>
                <w:rFonts w:hint="eastAsia" w:ascii="微软雅黑" w:hAnsi="微软雅黑" w:eastAsia="微软雅黑" w:cs="微软雅黑"/>
                <w:bCs/>
                <w:sz w:val="28"/>
              </w:rPr>
              <w:t>五、项目预期成果</w:t>
            </w:r>
          </w:p>
          <w:tbl>
            <w:tblPr>
              <w:tblStyle w:val="5"/>
              <w:tblW w:w="80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785"/>
              <w:gridCol w:w="5226"/>
            </w:tblGrid>
            <w:tr w14:paraId="4FD1B3B9">
              <w:trPr>
                <w:trHeight w:val="454" w:hRule="atLeast"/>
              </w:trPr>
              <w:tc>
                <w:tcPr>
                  <w:tcW w:w="2067" w:type="dxa"/>
                  <w:tcBorders>
                    <w:top w:val="single" w:color="auto" w:sz="4" w:space="0"/>
                    <w:left w:val="single" w:color="auto" w:sz="4" w:space="0"/>
                    <w:bottom w:val="single" w:color="auto" w:sz="4" w:space="0"/>
                    <w:right w:val="single" w:color="auto" w:sz="4" w:space="0"/>
                  </w:tcBorders>
                </w:tcPr>
                <w:p w14:paraId="6E639249">
                  <w:pPr>
                    <w:spacing w:line="360" w:lineRule="auto"/>
                    <w:jc w:val="center"/>
                    <w:rPr>
                      <w:rFonts w:ascii="宋体" w:hAnsi="宋体" w:cs="宋体"/>
                      <w:b/>
                      <w:bCs/>
                      <w:color w:val="333333"/>
                      <w:szCs w:val="21"/>
                      <w:shd w:val="clear" w:color="auto" w:fill="FFFFFF"/>
                    </w:rPr>
                  </w:pPr>
                  <w:r>
                    <w:rPr>
                      <w:rFonts w:ascii="宋体" w:hAnsi="宋体" w:cs="宋体"/>
                      <w:b/>
                      <w:color w:val="333333"/>
                      <w:u w:color="auto"/>
                    </w:rPr>
                    <w:t>名称</w:t>
                  </w:r>
                </w:p>
              </w:tc>
              <w:tc>
                <w:tcPr>
                  <w:tcW w:w="785" w:type="dxa"/>
                  <w:tcBorders>
                    <w:top w:val="single" w:color="auto" w:sz="4" w:space="0"/>
                    <w:left w:val="single" w:color="auto" w:sz="4" w:space="0"/>
                    <w:bottom w:val="single" w:color="auto" w:sz="4" w:space="0"/>
                    <w:right w:val="single" w:color="auto" w:sz="4" w:space="0"/>
                  </w:tcBorders>
                </w:tcPr>
                <w:p w14:paraId="1B7D3A9E">
                  <w:pPr>
                    <w:spacing w:line="360" w:lineRule="auto"/>
                    <w:jc w:val="center"/>
                    <w:rPr>
                      <w:rFonts w:ascii="宋体" w:hAnsi="宋体" w:cs="宋体"/>
                      <w:b/>
                      <w:bCs/>
                      <w:color w:val="333333"/>
                      <w:szCs w:val="21"/>
                      <w:shd w:val="clear" w:color="auto" w:fill="FFFFFF"/>
                    </w:rPr>
                  </w:pPr>
                  <w:r>
                    <w:rPr>
                      <w:rFonts w:hint="eastAsia" w:ascii="宋体" w:hAnsi="宋体" w:cs="宋体"/>
                      <w:b/>
                      <w:bCs/>
                      <w:color w:val="333333"/>
                      <w:szCs w:val="21"/>
                      <w:shd w:val="clear" w:color="auto" w:fill="FFFFFF"/>
                    </w:rPr>
                    <w:t>数量</w:t>
                  </w:r>
                </w:p>
              </w:tc>
              <w:tc>
                <w:tcPr>
                  <w:tcW w:w="5226" w:type="dxa"/>
                  <w:tcBorders>
                    <w:top w:val="single" w:color="auto" w:sz="4" w:space="0"/>
                    <w:left w:val="single" w:color="auto" w:sz="4" w:space="0"/>
                    <w:bottom w:val="single" w:color="auto" w:sz="4" w:space="0"/>
                    <w:right w:val="single" w:color="auto" w:sz="4" w:space="0"/>
                  </w:tcBorders>
                </w:tcPr>
                <w:p w14:paraId="4C5FC4D4">
                  <w:pPr>
                    <w:spacing w:line="360" w:lineRule="auto"/>
                    <w:jc w:val="center"/>
                    <w:rPr>
                      <w:rFonts w:ascii="宋体" w:hAnsi="宋体" w:cs="宋体"/>
                      <w:b/>
                      <w:bCs/>
                      <w:color w:val="333333"/>
                      <w:szCs w:val="21"/>
                      <w:shd w:val="clear" w:color="auto" w:fill="FFFFFF"/>
                    </w:rPr>
                  </w:pPr>
                  <w:r>
                    <w:rPr>
                      <w:rFonts w:hint="eastAsia" w:ascii="宋体" w:hAnsi="宋体" w:cs="宋体"/>
                      <w:b/>
                      <w:bCs/>
                      <w:color w:val="333333"/>
                      <w:szCs w:val="21"/>
                      <w:shd w:val="clear" w:color="auto" w:fill="FFFFFF"/>
                    </w:rPr>
                    <w:t>描述</w:t>
                  </w:r>
                </w:p>
              </w:tc>
            </w:tr>
            <w:tr w14:paraId="412096A9">
              <w:trPr>
                <w:trHeight w:val="463" w:hRule="atLeast"/>
              </w:trPr>
              <w:tc>
                <w:tcPr>
                  <w:tcW w:w="2067" w:type="dxa"/>
                  <w:tcBorders>
                    <w:top w:val="single" w:color="auto" w:sz="4" w:space="0"/>
                    <w:left w:val="single" w:color="auto" w:sz="4" w:space="0"/>
                    <w:bottom w:val="single" w:color="auto" w:sz="4" w:space="0"/>
                    <w:right w:val="single" w:color="auto" w:sz="4" w:space="0"/>
                  </w:tcBorders>
                  <w:vAlign w:val="bottom"/>
                </w:tcPr>
                <w:p w14:paraId="486ADB97">
                  <w:pPr>
                    <w:jc w:val="center"/>
                    <w:rPr>
                      <w:rFonts w:ascii="宋体" w:hAnsi="宋体" w:cs="宋体"/>
                      <w:color w:val="000000"/>
                      <w:sz w:val="22"/>
                    </w:rPr>
                  </w:pPr>
                  <w:r>
                    <w:rPr>
                      <w:rFonts w:hint="eastAsia" w:ascii="宋体" w:hAnsi="宋体" w:cs="宋体"/>
                      <w:color w:val="000000"/>
                      <w:sz w:val="22"/>
                    </w:rPr>
                    <w:t>新开或改造实验项目</w:t>
                  </w:r>
                </w:p>
              </w:tc>
              <w:tc>
                <w:tcPr>
                  <w:tcW w:w="785" w:type="dxa"/>
                  <w:tcBorders>
                    <w:top w:val="single" w:color="auto" w:sz="4" w:space="0"/>
                    <w:left w:val="single" w:color="auto" w:sz="4" w:space="0"/>
                    <w:bottom w:val="single" w:color="auto" w:sz="4" w:space="0"/>
                    <w:right w:val="single" w:color="auto" w:sz="4" w:space="0"/>
                  </w:tcBorders>
                </w:tcPr>
                <w:p w14:paraId="24094B60">
                  <w:pPr>
                    <w:spacing w:line="360" w:lineRule="auto"/>
                    <w:jc w:val="center"/>
                    <w:rPr>
                      <w:rFonts w:ascii="宋体" w:hAnsi="宋体" w:cs="宋体"/>
                      <w:color w:val="333333"/>
                      <w:szCs w:val="21"/>
                      <w:shd w:val="clear" w:color="auto" w:fill="FFFFFF"/>
                    </w:rPr>
                  </w:pPr>
                  <w:r>
                    <w:rPr>
                      <w:rFonts w:hint="eastAsia" w:ascii="宋体" w:hAnsi="宋体" w:cs="宋体"/>
                      <w:color w:val="333333"/>
                      <w:szCs w:val="21"/>
                      <w:shd w:val="clear" w:color="auto" w:fill="FFFFFF"/>
                    </w:rPr>
                    <w:t>1</w:t>
                  </w:r>
                </w:p>
              </w:tc>
              <w:tc>
                <w:tcPr>
                  <w:tcW w:w="5226" w:type="dxa"/>
                  <w:tcBorders>
                    <w:top w:val="single" w:color="auto" w:sz="4" w:space="0"/>
                    <w:left w:val="single" w:color="auto" w:sz="4" w:space="0"/>
                    <w:bottom w:val="single" w:color="auto" w:sz="4" w:space="0"/>
                    <w:right w:val="single" w:color="auto" w:sz="4" w:space="0"/>
                  </w:tcBorders>
                </w:tcPr>
                <w:p w14:paraId="691CCD25">
                  <w:pPr>
                    <w:spacing w:line="360" w:lineRule="auto"/>
                    <w:jc w:val="center"/>
                    <w:rPr>
                      <w:rFonts w:ascii="宋体" w:hAnsi="宋体" w:cs="宋体"/>
                      <w:color w:val="333333"/>
                      <w:szCs w:val="21"/>
                      <w:shd w:val="clear" w:color="auto" w:fill="FFFFFF"/>
                    </w:rPr>
                  </w:pPr>
                  <w:r>
                    <w:rPr>
                      <w:rFonts w:hint="eastAsia" w:ascii="宋体" w:hAnsi="宋体" w:cs="宋体"/>
                      <w:color w:val="333333"/>
                      <w:szCs w:val="21"/>
                      <w:shd w:val="clear" w:color="auto" w:fill="FFFFFF"/>
                    </w:rPr>
                    <w:t>对现有实验项目进行升级改造</w:t>
                  </w:r>
                </w:p>
              </w:tc>
            </w:tr>
          </w:tbl>
          <w:p w14:paraId="02960714">
            <w:pPr>
              <w:widowControl/>
              <w:jc w:val="left"/>
              <w:rPr>
                <w:rFonts w:ascii="等线" w:hAnsi="等线" w:eastAsia="等线" w:cs="宋体"/>
                <w:kern w:val="0"/>
                <w:sz w:val="20"/>
                <w:szCs w:val="20"/>
              </w:rPr>
            </w:pPr>
          </w:p>
        </w:tc>
      </w:tr>
    </w:tbl>
    <w:p w14:paraId="00121D11"/>
    <w:sectPr>
      <w:headerReference r:id="rId3" w:type="default"/>
      <w:footerReference r:id="rId4" w:type="default"/>
      <w:pgSz w:w="11906" w:h="16838"/>
      <w:pgMar w:top="1304" w:right="1701" w:bottom="1304"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
    <w:altName w:val="仿宋-简"/>
    <w:panose1 w:val="02010609060101010101"/>
    <w:charset w:val="86"/>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825CB">
    <w:pPr>
      <w:pStyle w:val="2"/>
      <w:jc w:val="cente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rPr>
        <w:sz w:val="21"/>
        <w:szCs w:val="21"/>
        <w:lang w:val="zh-CN"/>
      </w:rPr>
      <w:t>5</w:t>
    </w:r>
    <w:r>
      <w:rPr>
        <w:rFonts w:hint="eastAsia"/>
        <w:sz w:val="21"/>
        <w:szCs w:val="21"/>
      </w:rPr>
      <w:fldChar w:fldCharType="end"/>
    </w:r>
  </w:p>
  <w:p w14:paraId="3D767FD8">
    <w:pPr>
      <w:pStyle w:val="2"/>
      <w:rPr>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9686D">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90DA5"/>
    <w:multiLevelType w:val="multilevel"/>
    <w:tmpl w:val="0E690DA5"/>
    <w:lvl w:ilvl="0" w:tentative="0">
      <w:start w:val="1"/>
      <w:numFmt w:val="japaneseCounting"/>
      <w:lvlText w:val="%1、"/>
      <w:lvlJc w:val="left"/>
      <w:pPr>
        <w:ind w:left="525" w:hanging="525"/>
      </w:pPr>
      <w:rPr>
        <w:rFonts w:hint="default" w:ascii="微软雅黑" w:hAnsi="微软雅黑" w:eastAsia="微软雅黑"/>
        <w:sz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5371"/>
    <w:rsid w:val="00054CC6"/>
    <w:rsid w:val="001511BE"/>
    <w:rsid w:val="00165371"/>
    <w:rsid w:val="0022224B"/>
    <w:rsid w:val="00255A69"/>
    <w:rsid w:val="00255C17"/>
    <w:rsid w:val="00260580"/>
    <w:rsid w:val="002A1F37"/>
    <w:rsid w:val="002A719C"/>
    <w:rsid w:val="002E36B2"/>
    <w:rsid w:val="00354E5C"/>
    <w:rsid w:val="00362232"/>
    <w:rsid w:val="003E7AF0"/>
    <w:rsid w:val="00410AF2"/>
    <w:rsid w:val="00442A38"/>
    <w:rsid w:val="00457C07"/>
    <w:rsid w:val="004A4744"/>
    <w:rsid w:val="004C1E29"/>
    <w:rsid w:val="0054132F"/>
    <w:rsid w:val="005449F4"/>
    <w:rsid w:val="005E5F1F"/>
    <w:rsid w:val="00632600"/>
    <w:rsid w:val="00633553"/>
    <w:rsid w:val="006847B0"/>
    <w:rsid w:val="006A3E05"/>
    <w:rsid w:val="007D32CB"/>
    <w:rsid w:val="0084328E"/>
    <w:rsid w:val="008D48CE"/>
    <w:rsid w:val="008F2154"/>
    <w:rsid w:val="008F64F2"/>
    <w:rsid w:val="009166F8"/>
    <w:rsid w:val="009A59F5"/>
    <w:rsid w:val="009D017A"/>
    <w:rsid w:val="00A47692"/>
    <w:rsid w:val="00A71812"/>
    <w:rsid w:val="00B00C99"/>
    <w:rsid w:val="00BF15E9"/>
    <w:rsid w:val="00C53694"/>
    <w:rsid w:val="00C61B01"/>
    <w:rsid w:val="00CB1E8B"/>
    <w:rsid w:val="00DB4240"/>
    <w:rsid w:val="00DE0183"/>
    <w:rsid w:val="00E03FCC"/>
    <w:rsid w:val="00E93074"/>
    <w:rsid w:val="01227D26"/>
    <w:rsid w:val="04A41A81"/>
    <w:rsid w:val="076170CE"/>
    <w:rsid w:val="0A652A31"/>
    <w:rsid w:val="0C7451AE"/>
    <w:rsid w:val="158C17BA"/>
    <w:rsid w:val="1997072D"/>
    <w:rsid w:val="1B485C48"/>
    <w:rsid w:val="1B9E70A3"/>
    <w:rsid w:val="1C9B0535"/>
    <w:rsid w:val="20104D96"/>
    <w:rsid w:val="250B3EE1"/>
    <w:rsid w:val="25B276F2"/>
    <w:rsid w:val="279C593D"/>
    <w:rsid w:val="27A26C1B"/>
    <w:rsid w:val="2B8C5C18"/>
    <w:rsid w:val="2C534C4C"/>
    <w:rsid w:val="2DE33AEA"/>
    <w:rsid w:val="37967A1C"/>
    <w:rsid w:val="37E33D34"/>
    <w:rsid w:val="3F6A406B"/>
    <w:rsid w:val="4579257A"/>
    <w:rsid w:val="4FA64C4B"/>
    <w:rsid w:val="55F67FAE"/>
    <w:rsid w:val="57757B5A"/>
    <w:rsid w:val="57BE4AFC"/>
    <w:rsid w:val="5BDE576D"/>
    <w:rsid w:val="5C010F3A"/>
    <w:rsid w:val="5CF81667"/>
    <w:rsid w:val="5D777C27"/>
    <w:rsid w:val="5DA97507"/>
    <w:rsid w:val="5DAA3E0E"/>
    <w:rsid w:val="5EEEDB0C"/>
    <w:rsid w:val="64AE5D21"/>
    <w:rsid w:val="64CD60FE"/>
    <w:rsid w:val="6A3053E5"/>
    <w:rsid w:val="6A4B0471"/>
    <w:rsid w:val="6C081DE6"/>
    <w:rsid w:val="6FA80B0C"/>
    <w:rsid w:val="73E60636"/>
    <w:rsid w:val="74DC40FE"/>
    <w:rsid w:val="750C08C6"/>
    <w:rsid w:val="75C335B1"/>
    <w:rsid w:val="75C72835"/>
    <w:rsid w:val="7682346D"/>
    <w:rsid w:val="78986E67"/>
    <w:rsid w:val="7B914152"/>
    <w:rsid w:val="7C815E4D"/>
    <w:rsid w:val="7E2D63B4"/>
    <w:rsid w:val="7F192E0E"/>
    <w:rsid w:val="FDBEF6A0"/>
    <w:rsid w:val="FF6FF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rFonts w:ascii="等线" w:hAnsi="等线" w:eastAsia="等线"/>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rFonts w:ascii="等线" w:hAnsi="等线" w:eastAsia="等线"/>
      <w:sz w:val="18"/>
      <w:szCs w:val="18"/>
    </w:rPr>
  </w:style>
  <w:style w:type="paragraph" w:styleId="4">
    <w:name w:val="HTML Preformatted"/>
    <w:basedOn w:val="1"/>
    <w:link w:val="7"/>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7">
    <w:name w:val="HTML 预设格式 字符"/>
    <w:basedOn w:val="6"/>
    <w:link w:val="4"/>
    <w:qFormat/>
    <w:uiPriority w:val="99"/>
    <w:rPr>
      <w:rFonts w:ascii="宋体" w:hAnsi="宋体" w:eastAsia="宋体" w:cs="宋体"/>
      <w:sz w:val="24"/>
      <w:szCs w:val="24"/>
    </w:rPr>
  </w:style>
  <w:style w:type="paragraph" w:customStyle="1" w:styleId="8">
    <w:name w:val="null7"/>
    <w:hidden/>
    <w:uiPriority w:val="0"/>
    <w:rPr>
      <w:rFonts w:hint="eastAsia" w:ascii="仿宋" w:hAnsi="仿宋" w:eastAsia="仿宋" w:cs="微软雅黑"/>
      <w:bCs/>
      <w:sz w:val="24"/>
      <w:szCs w:val="24"/>
    </w:rPr>
  </w:style>
  <w:style w:type="paragraph" w:customStyle="1" w:styleId="9">
    <w:name w:val="null8"/>
    <w:hidden/>
    <w:uiPriority w:val="0"/>
    <w:rPr>
      <w:rFonts w:hint="eastAsia" w:ascii="仿宋" w:hAnsi="仿宋" w:eastAsia="仿宋" w:cs="微软雅黑"/>
      <w:bCs/>
      <w:sz w:val="24"/>
      <w:szCs w:val="24"/>
    </w:rPr>
  </w:style>
  <w:style w:type="paragraph" w:customStyle="1" w:styleId="10">
    <w:name w:val="null9"/>
    <w:hidden/>
    <w:uiPriority w:val="0"/>
    <w:rPr>
      <w:rFonts w:hint="eastAsia" w:ascii="仿宋" w:hAnsi="仿宋" w:eastAsia="仿宋" w:cs="微软雅黑"/>
      <w:bCs/>
      <w:sz w:val="24"/>
      <w:szCs w:val="24"/>
    </w:rPr>
  </w:style>
  <w:style w:type="paragraph" w:customStyle="1" w:styleId="11">
    <w:name w:val="null10"/>
    <w:hidden/>
    <w:uiPriority w:val="0"/>
    <w:rPr>
      <w:rFonts w:hint="eastAsia" w:ascii="仿宋" w:hAnsi="仿宋" w:eastAsia="仿宋" w:cs="微软雅黑"/>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7</Pages>
  <Words>466</Words>
  <Characters>892</Characters>
  <Lines>9</Lines>
  <Paragraphs>2</Paragraphs>
  <TotalTime>72</TotalTime>
  <ScaleCrop>false</ScaleCrop>
  <LinksUpToDate>false</LinksUpToDate>
  <CharactersWithSpaces>1149</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2024-12-24T09:40:00Z</dcterms:created>
  <dc:creator>songz</dc:creator>
  <cp:lastModifiedBy>ZW</cp:lastModifiedBy>
  <dcterms:modified xsi:type="dcterms:W3CDTF">2026-06-04T14:44:16Z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937C2C2C2AFA423095A8B2B69436E60B_12</vt:lpwstr>
  </property>
  <property fmtid="{D5CDD505-2E9C-101B-9397-08002B2CF9AE}" pid="4" name="KSOTemplateDocerSaveRecord">
    <vt:lpwstr>eyJoZGlkIjoiNzBlMzFmM2E3YTkyMWIxYTZiMjc4NDU3MDEyOWY4MGYiLCJ1c2VySWQiOiIxMTc4MjAzODY1In0=</vt:lpwstr>
  </property>
</Properties>
</file>