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cea934fe03342ba" /><Relationship Type="http://schemas.openxmlformats.org/package/2006/relationships/metadata/core-properties" Target="package/services/metadata/core-properties/a5e901362f474e7eaa6051c4192fb844.psmdcp" Id="R0101815dd116464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jc w:val="center"/>
        <w:rPr>
          <w:rFonts w:ascii="Google Sans" w:hAnsi="Google Sans" w:eastAsia="Google Sans" w:cs="Google Sans"/>
        </w:rPr>
      </w:pPr>
      <w:bookmarkStart w:name="_swls7m11ggfl" w:colFirst="0" w:colLast="0" w:id="1278276696"/>
      <w:bookmarkEnd w:id="1278276696"/>
      <w:r w:rsidRPr="00000000" w:rsidDel="00000000" w:rsidR="00000000">
        <w:rPr>
          <w:rFonts w:ascii="Google Sans" w:hAnsi="Google Sans" w:eastAsia="Google Sans" w:cs="Google Sans"/>
          <w:rtl w:val="0"/>
        </w:rPr>
        <w:t xml:space="preserve">Controls assessment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Google Sans" w:hAnsi="Google Sans" w:eastAsia="Google Sans" w:cs="Google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RPr="00000000" w:rsidDel="00000000" w:rsidR="00000000">
          <w:rPr>
            <w:rFonts w:ascii="Google Sans" w:hAnsi="Google Sans" w:eastAsia="Google Sans" w:cs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 document.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Google Sans" w:hAnsi="Google Sans" w:eastAsia="Google Sans" w:cs="Google Sans"/>
        </w:rPr>
      </w:pPr>
      <w:bookmarkStart w:name="_jdudu6fs5rtm" w:colFirst="0" w:colLast="0" w:id="1"/>
      <w:bookmarkEnd w:id="1"/>
      <w:r w:rsidRPr="00000000" w:rsidDel="00000000" w:rsidR="00000000">
        <w:rPr>
          <w:rFonts w:ascii="Google Sans" w:hAnsi="Google Sans" w:eastAsia="Google Sans" w:cs="Google Sans"/>
          <w:rtl w:val="0"/>
        </w:rPr>
        <w:t xml:space="preserve">Current assets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Assets managed by the IT Department include: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On-premises equipment for in-office business needs 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Internet access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Internal network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Vendor access management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Data center hosting services 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Data retention and storage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ind w:left="720" w:hanging="360"/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Badge readers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rPr>
          <w:rFonts w:ascii="Google Sans" w:hAnsi="Google Sans" w:eastAsia="Google Sans" w:cs="Google Sans"/>
          <w:i w:val="1"/>
          <w:sz w:val="24"/>
          <w:szCs w:val="24"/>
        </w:rPr>
      </w:pPr>
      <w:r w:rsidRPr="00000000" w:rsidDel="00000000" w:rsidR="00000000">
        <w:rPr>
          <w:rFonts w:ascii="Google Sans" w:hAnsi="Google Sans" w:eastAsia="Google Sans" w:cs="Google Sans"/>
          <w:sz w:val="24"/>
          <w:szCs w:val="24"/>
          <w:rtl w:val="0"/>
        </w:rPr>
        <w:t xml:space="preserve">Legacy system maintenance: end-of-life systems that require human monitoring</w:t>
      </w:r>
      <w:r w:rsidRPr="00000000" w:rsidDel="00000000" w:rsidR="00000000">
        <w:rPr>
          <w:rFonts w:ascii="Google Sans" w:hAnsi="Google Sans" w:eastAsia="Google Sans" w:cs="Google Sans"/>
          <w:i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Google Sans" w:hAnsi="Google Sans" w:eastAsia="Google Sans" w:cs="Google Sans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6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325"/>
        <w:gridCol w:w="3660"/>
        <w:gridCol w:w="1755"/>
        <w:gridCol w:w="1620"/>
      </w:tblGrid>
      <w:tr xmlns:wp14="http://schemas.microsoft.com/office/word/2010/wordml" w:rsidTr="0547D15B" w14:paraId="0AE9E405" wp14:textId="77777777">
        <w:trPr>
          <w:cantSplit w:val="0"/>
          <w:trHeight w:val="440" w:hRule="atLeast"/>
          <w:tblHeader w:val="1"/>
        </w:trPr>
        <w:tc>
          <w:tcPr>
            <w:gridSpan w:val="4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 xmlns:wp14="http://schemas.microsoft.com/office/word/2010/wordml" w:rsidTr="0547D15B" w14:paraId="0CCAC0D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Pr="00000000" w:rsidR="00000000" w:rsidDel="00000000" w:rsidP="00000000" w:rsidRDefault="00000000" w14:paraId="0000001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Pr="00000000" w:rsidR="00000000" w:rsidDel="00000000" w:rsidP="00000000" w:rsidRDefault="00000000" w14:paraId="0000001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47D15B" w14:paraId="11A0820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Medium</w:t>
            </w:r>
          </w:p>
        </w:tc>
      </w:tr>
      <w:tr xmlns:wp14="http://schemas.microsoft.com/office/word/2010/wordml" w:rsidTr="0547D15B" w14:paraId="427762D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3E64E5A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Medium</w:t>
            </w:r>
          </w:p>
        </w:tc>
      </w:tr>
      <w:tr xmlns:wp14="http://schemas.microsoft.com/office/word/2010/wordml" w:rsidTr="0547D15B" w14:paraId="2696937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659D936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72CE16A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Medium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42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325"/>
        <w:gridCol w:w="3645"/>
        <w:gridCol w:w="1800"/>
        <w:gridCol w:w="1650"/>
      </w:tblGrid>
      <w:tr xmlns:wp14="http://schemas.microsoft.com/office/word/2010/wordml" w:rsidTr="0547D15B" w14:paraId="23247260" wp14:textId="77777777">
        <w:trPr>
          <w:cantSplit w:val="0"/>
          <w:trHeight w:val="440" w:hRule="atLeast"/>
          <w:tblHeader w:val="0"/>
        </w:trPr>
        <w:tc>
          <w:tcPr>
            <w:gridSpan w:val="4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 xmlns:wp14="http://schemas.microsoft.com/office/word/2010/wordml" w:rsidTr="0547D15B" w14:paraId="50AD252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47D15B" w14:paraId="78CFDFE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Firewall</w:t>
            </w:r>
          </w:p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 xml:space="preserve">High </w:t>
            </w:r>
          </w:p>
        </w:tc>
      </w:tr>
      <w:tr xmlns:wp14="http://schemas.microsoft.com/office/word/2010/wordml" w:rsidTr="0547D15B" w14:paraId="5BF42DE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47D15B" w14:paraId="232383A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Encryption</w:t>
            </w:r>
          </w:p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0BDFDF1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1AB00CD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Medium</w:t>
            </w:r>
          </w:p>
        </w:tc>
      </w:tr>
      <w:tr xmlns:wp14="http://schemas.microsoft.com/office/word/2010/wordml" w:rsidTr="0547D15B" w14:paraId="6390EAE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547D15B" w:rsidR="0547D15B">
              <w:rPr>
                <w:rFonts w:ascii="Google Sans" w:hAnsi="Google Sans" w:eastAsia="Google Sans" w:cs="Google Sans"/>
                <w:sz w:val="24"/>
                <w:szCs w:val="24"/>
              </w:rPr>
              <w:t>High</w:t>
            </w:r>
          </w:p>
        </w:tc>
      </w:tr>
      <w:tr xmlns:wp14="http://schemas.microsoft.com/office/word/2010/wordml" w:rsidTr="0547D15B" w14:paraId="160352C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1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rFonts w:ascii="Google Sans" w:hAnsi="Google Sans" w:eastAsia="Google Sans" w:cs="Google Sans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 xmlns:wp14="http://schemas.microsoft.com/office/word/2010/wordml" w14:paraId="4D043E18" wp14:textId="77777777">
        <w:trPr>
          <w:cantSplit w:val="0"/>
          <w:trHeight w:val="440" w:hRule="atLeast"/>
          <w:tblHeader w:val="0"/>
        </w:trPr>
        <w:tc>
          <w:tcPr>
            <w:gridSpan w:val="4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widowControl w:val="0"/>
              <w:spacing w:line="240" w:lineRule="auto"/>
              <w:jc w:val="center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 xmlns:wp14="http://schemas.microsoft.com/office/word/2010/wordml" w14:paraId="7AC58ED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Pr="00000000" w:rsidR="00000000" w:rsidDel="00000000" w:rsidP="00000000" w:rsidRDefault="00000000" w14:paraId="0000006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Pr="00000000" w:rsidR="00000000" w:rsidDel="00000000" w:rsidP="00000000" w:rsidRDefault="00000000" w14:paraId="0000007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C69BB24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466D174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22E71A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F3E0B7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Locking cabinets (for network gear)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21E5BD5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5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337C96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7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1CF7D98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widowControl w:val="0"/>
              <w:spacing w:line="240" w:lineRule="auto"/>
              <w:rPr>
                <w:rFonts w:ascii="Google Sans" w:hAnsi="Google Sans" w:eastAsia="Google Sans" w:cs="Google Sans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Google Sans" w:hAnsi="Google Sans" w:eastAsia="Google Sans" w:cs="Google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rPr>
          <w:rFonts w:ascii="Google Sans" w:hAnsi="Google Sans" w:eastAsia="Google Sans" w:cs="Google Sans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59c4147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2a5354a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A0969E"/>
  <w15:docId w15:val="{210F4858-4DEF-4132-B548-CD4BB636BBD4}"/>
  <w:rsids>
    <w:rsidRoot w:val="0547D15B"/>
    <w:rsid w:val="0547D15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docs.google.com/document/d/1Ut_H5A9FHwuQEy6_qG6Lfy3zwF6GSJnj3DZTMaNRWEE/template/preview?usp=sharing&amp;resourcekey=0-i4dR5qZFqQyfzr8uk3OOmA" TargetMode="External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