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2E74B5"/>
          <w:sz w:val="18"/>
        </w:rPr>
        <w:t>COMPLETION &amp; EXERCISE REVIEW</w:t>
      </w:r>
    </w:p>
    <w:p>
      <w:pPr>
        <w:keepNext/>
        <w:spacing w:after="120"/>
      </w:pPr>
      <w:r>
        <w:rPr>
          <w:rFonts w:ascii="Calibri" w:hAnsi="Calibri"/>
          <w:b/>
          <w:color w:val="172238"/>
          <w:sz w:val="54"/>
        </w:rPr>
        <w:t>MSW Component Network</w:t>
        <w:br/>
        <w:t>Boundary Tests</w:t>
      </w:r>
    </w:p>
    <w:p>
      <w:pPr>
        <w:spacing w:after="320"/>
      </w:pPr>
      <w:r>
        <w:rPr>
          <w:rFonts w:ascii="Calibri" w:hAnsi="Calibri"/>
          <w:color w:val="5B6678"/>
          <w:sz w:val="26"/>
        </w:rPr>
        <w:t>Exercise 02  |  Case dashboard app</w:t>
      </w:r>
    </w:p>
    <w:p>
      <w:pPr>
        <w:spacing w:after="40"/>
      </w:pPr>
      <w:r>
        <w:rPr>
          <w:rFonts w:ascii="Calibri" w:hAnsi="Calibri"/>
          <w:b/>
          <w:color w:val="172238"/>
        </w:rPr>
        <w:t xml:space="preserve">Prepared: </w:t>
      </w:r>
      <w:r>
        <w:rPr>
          <w:rFonts w:ascii="Calibri" w:hAnsi="Calibri"/>
          <w:color w:val="172238"/>
        </w:rPr>
        <w:t>30 July 2026</w:t>
      </w:r>
    </w:p>
    <w:p>
      <w:pPr>
        <w:spacing w:after="280"/>
      </w:pPr>
      <w:r>
        <w:rPr>
          <w:rFonts w:ascii="Calibri" w:hAnsi="Calibri"/>
          <w:b/>
          <w:color w:val="172238"/>
        </w:rPr>
        <w:t xml:space="preserve">Scope: </w:t>
      </w:r>
      <w:r>
        <w:rPr>
          <w:rFonts w:ascii="Calibri" w:hAnsi="Calibri"/>
          <w:color w:val="172238"/>
        </w:rPr>
        <w:t>Implementation, browser evidence, verification, and learning-value review</w:t>
      </w:r>
    </w:p>
    <w:p>
      <w:pPr>
        <w:spacing w:before="80" w:after="280"/>
        <w:ind w:left="259" w:right="259" w:firstLine="0"/>
        <w:shd w:fill="E8EEF5"/>
      </w:pPr>
      <w:r>
        <w:rPr>
          <w:rFonts w:ascii="Calibri" w:hAnsi="Calibri"/>
          <w:b/>
          <w:color w:val="1F4D78"/>
          <w:sz w:val="21"/>
        </w:rPr>
        <w:t xml:space="preserve">VERDICT  </w:t>
      </w:r>
      <w:r>
        <w:rPr>
          <w:rFonts w:ascii="Calibri" w:hAnsi="Calibri"/>
          <w:b/>
          <w:color w:val="172238"/>
          <w:sz w:val="23"/>
        </w:rPr>
        <w:t>Helpful for juniors and early mid-level engineers once the starter is aligned with the brief. For seniors, it is a useful warm-up, but not a strong standalone assessment without concurrency, schema-drift, or mutation-boundary extensions.</w:t>
      </w:r>
    </w:p>
    <w:p>
      <w:pPr>
        <w:pStyle w:val="Heading1"/>
        <w:keepNext/>
      </w:pPr>
      <w:r>
        <w:t>Completed outcome</w:t>
      </w:r>
    </w:p>
    <w:p>
      <w:r>
        <w:t>The static lab-contract page was converted into a real network-backed case dashboard. The implementation now exposes observable loading, success, server-empty, filtered-empty, error, and retry states through accessible UI semantics.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Strict MSW Node server with a default GET /api/cases handler, per-test overrides, reset after each test, and failure on unhandled requests.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Five Testing Library component tests covering the required state transitions through the network boundary.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One role- and label-based Playwright smoke test with routed API data, traces, and a reviewed browser screenshot.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Ten fresh component runs, ten repeated Chromium runs, and a complete lint/typecheck/build gate.</w:t>
      </w:r>
    </w:p>
    <w:p>
      <w:pPr>
        <w:pStyle w:val="Heading2"/>
        <w:keepNext/>
      </w:pPr>
      <w:r>
        <w:t>Measured result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Component suite: </w:t>
      </w:r>
      <w:r>
        <w:rPr>
          <w:rFonts w:ascii="Calibri" w:hAnsi="Calibri"/>
          <w:color w:val="172238"/>
        </w:rPr>
        <w:t>2 files, 7 tests passed; 5 dashboard state tests plus 2 existing scoring tests.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Stability: </w:t>
      </w:r>
      <w:r>
        <w:rPr>
          <w:rFonts w:ascii="Calibri" w:hAnsi="Calibri"/>
          <w:color w:val="172238"/>
        </w:rPr>
        <w:t>10/10 fresh Vitest processes and 10/10 Chromium repetitions passed.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Production gate: </w:t>
      </w:r>
      <w:r>
        <w:rPr>
          <w:rFonts w:ascii="Calibri" w:hAnsi="Calibri"/>
          <w:color w:val="172238"/>
        </w:rPr>
        <w:t>Lint, contract check, formatting, typecheck, and Vite build all passed.</w:t>
      </w:r>
    </w:p>
    <w:p>
      <w:r>
        <w:br w:type="page"/>
      </w:r>
    </w:p>
    <w:p>
      <w:pPr>
        <w:pStyle w:val="Heading1"/>
        <w:keepNext/>
      </w:pPr>
      <w:r>
        <w:t>Learning-value assessment</w:t>
      </w:r>
    </w:p>
    <w:p>
      <w:r>
        <w:t>The exercise targets an important testing boundary: control network behavior while asserting what a user can actually observe. That combination teaches more durable habits than mocking component internals or replacing global fetch.</w:t>
      </w:r>
    </w:p>
    <w:p>
      <w:pPr>
        <w:pStyle w:val="Heading2"/>
        <w:keepNext/>
      </w:pPr>
      <w:r>
        <w:t>Junior suitability - strong with scaffolding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Rating: </w:t>
      </w:r>
      <w:r>
        <w:rPr>
          <w:rFonts w:ascii="Calibri" w:hAnsi="Calibri"/>
          <w:color w:val="172238"/>
        </w:rPr>
        <w:t>8/10 after starter repairs; 5/10 as currently packaged.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Concrete states make the learning objective visible and easy to review.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MSW teaches request-level control without coupling assertions to implementation details.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Testing Library roles and labels reinforce accessibility and resilient test design together.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The retry path introduces a small but realistic state transition rather than a static snapshot.</w:t>
      </w:r>
    </w:p>
    <w:p>
      <w:pPr>
        <w:pStyle w:val="Heading2"/>
        <w:keepNext/>
      </w:pPr>
      <w:r>
        <w:t>Senior suitability - limited as a standalone assessment</w:t>
      </w:r>
    </w:p>
    <w:p>
      <w:pPr>
        <w:spacing w:after="120"/>
      </w:pPr>
      <w:r>
        <w:rPr>
          <w:rFonts w:ascii="Calibri" w:hAnsi="Calibri"/>
          <w:b/>
          <w:color w:val="8A5A00"/>
        </w:rPr>
        <w:t xml:space="preserve">Rating: </w:t>
      </w:r>
      <w:r>
        <w:rPr>
          <w:rFonts w:ascii="Calibri" w:hAnsi="Calibri"/>
          <w:color w:val="172238"/>
        </w:rPr>
        <w:t>4/10 for senior differentiation; 7/10 as a short calibration exercise.</w:t>
      </w:r>
    </w:p>
    <w:p>
      <w:r>
        <w:t>A senior engineer should complete the core boundary quickly. The current scope does not reveal much about race conditions, cancellation, request contracts, cache behavior, optimistic updates, malformed payloads, or CI diagnostics - the areas where senior judgment becomes more visible.</w:t>
      </w:r>
    </w:p>
    <w:p>
      <w:pPr>
        <w:pStyle w:val="Heading2"/>
        <w:keepNext/>
      </w:pPr>
      <w:r>
        <w:t>What works especially well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The mission is outcome-oriented: test UI states, do not couple to the real service.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Loading, empty, error, and filtered states form a compact state-model exercise.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72238"/>
        </w:rPr>
        <w:t>Required evidence encourages verification rather than a code-only handoff.</w:t>
      </w:r>
    </w:p>
    <w:p>
      <w:pPr>
        <w:pStyle w:val="Heading2"/>
        <w:keepNext/>
      </w:pPr>
      <w:r>
        <w:t>Material packaging gap</w:t>
      </w:r>
    </w:p>
    <w:p>
      <w:pPr>
        <w:spacing w:after="200"/>
      </w:pPr>
      <w:r>
        <w:rPr>
          <w:rFonts w:ascii="Calibri" w:hAnsi="Calibri"/>
          <w:b/>
          <w:color w:val="172238"/>
        </w:rPr>
        <w:t xml:space="preserve">The supplied app did not match the stated mission. </w:t>
      </w:r>
      <w:r>
        <w:rPr>
          <w:rFonts w:ascii="Calibri" w:hAnsi="Calibri"/>
          <w:color w:val="172238"/>
        </w:rPr>
        <w:t>It rendered a static exercise-contract dashboard; the dormant workflow service returned in-memory data after a timer and never crossed a network boundary. No MSW dependency or dashboard component test existed. Repairing the application therefore became a prerequisite, making the advertised 30-minute limit unreliable.</w:t>
      </w:r>
    </w:p>
    <w:p>
      <w:pPr>
        <w:pStyle w:val="Heading2"/>
        <w:keepNext/>
      </w:pPr>
      <w:r>
        <w:t>Thirty-minute feasibility</w:t>
      </w:r>
    </w:p>
    <w:p>
      <w:pPr>
        <w:spacing w:after="120"/>
      </w:pPr>
      <w:r>
        <w:rPr>
          <w:rFonts w:ascii="Calibri" w:hAnsi="Calibri"/>
          <w:b/>
          <w:color w:val="8A5A00"/>
        </w:rPr>
        <w:t xml:space="preserve">Current repository: </w:t>
      </w:r>
      <w:r>
        <w:rPr>
          <w:rFonts w:ascii="Calibri" w:hAnsi="Calibri"/>
          <w:color w:val="172238"/>
        </w:rPr>
        <w:t>Unreliable for juniors; feasible only for an experienced engineer who first diagnoses the starter mismatch.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With a coherent starter: </w:t>
      </w:r>
      <w:r>
        <w:rPr>
          <w:rFonts w:ascii="Calibri" w:hAnsi="Calibri"/>
          <w:color w:val="172238"/>
        </w:rPr>
        <w:t>Realistic: 5 minutes inspect, 15 minutes author handlers/tests, 5 minutes stabilize, 5 minutes capture evidence.</w:t>
      </w:r>
    </w:p>
    <w:p>
      <w:r>
        <w:br w:type="page"/>
      </w:r>
    </w:p>
    <w:p>
      <w:pPr>
        <w:pStyle w:val="Heading1"/>
        <w:keepNext/>
      </w:pPr>
      <w:r>
        <w:t>Recommended exercise improvements</w:t>
      </w:r>
    </w:p>
    <w:p>
      <w:r>
        <w:t>Keep the state-boundary mission, but make the starter and rubric precise enough that the timebox measures testing skill rather than repository reconstruction.</w:t>
      </w:r>
    </w:p>
    <w:p>
      <w:pPr>
        <w:pStyle w:val="ListNumber"/>
        <w:spacing w:after="160" w:line="280" w:lineRule="auto"/>
      </w:pPr>
      <w:r>
        <w:rPr>
          <w:rFonts w:ascii="Calibri" w:hAnsi="Calibri"/>
          <w:b/>
          <w:color w:val="1F4D78"/>
        </w:rPr>
        <w:t xml:space="preserve">Align the starter with the brief. </w:t>
      </w:r>
      <w:r>
        <w:rPr>
          <w:rFonts w:ascii="Calibri" w:hAnsi="Calibri"/>
          <w:color w:val="172238"/>
        </w:rPr>
        <w:t>Mount the case dashboard, make it call GET /api/cases, and include one intentionally weak component test. Learners should improve coverage, not invent the missing product flow.</w:t>
      </w:r>
    </w:p>
    <w:p>
      <w:pPr>
        <w:pStyle w:val="ListNumber"/>
        <w:spacing w:after="160" w:line="280" w:lineRule="auto"/>
      </w:pPr>
      <w:r>
        <w:rPr>
          <w:rFonts w:ascii="Calibri" w:hAnsi="Calibri"/>
          <w:b/>
          <w:color w:val="1F4D78"/>
        </w:rPr>
        <w:t xml:space="preserve">Pin the toolchain. </w:t>
      </w:r>
      <w:r>
        <w:rPr>
          <w:rFonts w:ascii="Calibri" w:hAnsi="Calibri"/>
          <w:color w:val="172238"/>
        </w:rPr>
        <w:t>Commit a lockfile, declare the supported Node version, and document the Playwright browser install. This removes setup variance from a 30-minute exercise.</w:t>
      </w:r>
    </w:p>
    <w:p>
      <w:pPr>
        <w:pStyle w:val="ListNumber"/>
        <w:spacing w:after="160" w:line="280" w:lineRule="auto"/>
      </w:pPr>
      <w:r>
        <w:rPr>
          <w:rFonts w:ascii="Calibri" w:hAnsi="Calibri"/>
          <w:b/>
          <w:color w:val="1F4D78"/>
        </w:rPr>
        <w:t xml:space="preserve">Publish acceptance criteria. </w:t>
      </w:r>
      <w:r>
        <w:rPr>
          <w:rFonts w:ascii="Calibri" w:hAnsi="Calibri"/>
          <w:color w:val="172238"/>
        </w:rPr>
        <w:t>Require distinct server-empty and filter-empty messages, a visible retry affordance, strict unhandled-request behavior, and handler reset after every test.</w:t>
      </w:r>
    </w:p>
    <w:p>
      <w:pPr>
        <w:pStyle w:val="ListNumber"/>
        <w:spacing w:after="160" w:line="280" w:lineRule="auto"/>
      </w:pPr>
      <w:r>
        <w:rPr>
          <w:rFonts w:ascii="Calibri" w:hAnsi="Calibri"/>
          <w:b/>
          <w:color w:val="1F4D78"/>
        </w:rPr>
        <w:t xml:space="preserve">Split core and stretch tracks. </w:t>
      </w:r>
      <w:r>
        <w:rPr>
          <w:rFonts w:ascii="Calibri" w:hAnsi="Calibri"/>
          <w:color w:val="172238"/>
        </w:rPr>
        <w:t>Keep the five-state MSW suite as the junior core. Add senior extensions for malformed payloads, rapid filter changes, request cancellation, mutation rollback, and request-shape assertions.</w:t>
      </w:r>
    </w:p>
    <w:p>
      <w:pPr>
        <w:pStyle w:val="ListNumber"/>
        <w:spacing w:after="160" w:line="280" w:lineRule="auto"/>
      </w:pPr>
      <w:r>
        <w:rPr>
          <w:rFonts w:ascii="Calibri" w:hAnsi="Calibri"/>
          <w:b/>
          <w:color w:val="1F4D78"/>
        </w:rPr>
        <w:t xml:space="preserve">Provide an evidence template. </w:t>
      </w:r>
      <w:r>
        <w:rPr>
          <w:rFonts w:ascii="Calibri" w:hAnsi="Calibri"/>
          <w:color w:val="172238"/>
        </w:rPr>
        <w:t>List the exact verification commands and required artifacts: component output, repeated run, browser screenshot or trace, and selector/mock audit.</w:t>
      </w:r>
    </w:p>
    <w:p>
      <w:pPr>
        <w:pStyle w:val="ListNumber"/>
        <w:spacing w:after="160" w:line="280" w:lineRule="auto"/>
      </w:pPr>
      <w:r>
        <w:rPr>
          <w:rFonts w:ascii="Calibri" w:hAnsi="Calibri"/>
          <w:b/>
          <w:color w:val="1F4D78"/>
        </w:rPr>
        <w:t xml:space="preserve">Use a scoring rubric. </w:t>
      </w:r>
      <w:r>
        <w:rPr>
          <w:rFonts w:ascii="Calibri" w:hAnsi="Calibri"/>
          <w:color w:val="172238"/>
        </w:rPr>
        <w:t>Score boundary fidelity, user-visible assertions, test isolation, accessibility-first queries, recovery behavior, and evidence quality separately.</w:t>
      </w:r>
    </w:p>
    <w:p>
      <w:pPr>
        <w:pStyle w:val="Heading2"/>
        <w:keepNext/>
      </w:pPr>
      <w:r>
        <w:t>Suggested revised challenge structure</w:t>
      </w:r>
    </w:p>
    <w:p>
      <w:pPr>
        <w:spacing w:after="120"/>
      </w:pPr>
      <w:r>
        <w:rPr>
          <w:rFonts w:ascii="Calibri" w:hAnsi="Calibri"/>
          <w:b/>
          <w:color w:val="172238"/>
        </w:rPr>
        <w:t xml:space="preserve">Core - 30 minutes: </w:t>
      </w:r>
      <w:r>
        <w:rPr>
          <w:rFonts w:ascii="Calibri" w:hAnsi="Calibri"/>
          <w:color w:val="172238"/>
        </w:rPr>
        <w:t>Add MSW setup and handlers; cover loading, success, server-empty, error/retry, and filtered-empty; run the component suite twice.</w:t>
      </w:r>
    </w:p>
    <w:p>
      <w:pPr>
        <w:spacing w:after="120"/>
      </w:pPr>
      <w:r>
        <w:rPr>
          <w:rFonts w:ascii="Calibri" w:hAnsi="Calibri"/>
          <w:b/>
          <w:color w:val="172238"/>
        </w:rPr>
        <w:t xml:space="preserve">Senior stretch - 20 minutes: </w:t>
      </w:r>
      <w:r>
        <w:rPr>
          <w:rFonts w:ascii="Calibri" w:hAnsi="Calibri"/>
          <w:color w:val="172238"/>
        </w:rPr>
        <w:t>Cover malformed data and stale-response races; verify request parameters; explain why the chosen boundary belongs at component rather than browser level.</w:t>
      </w:r>
    </w:p>
    <w:p>
      <w:pPr>
        <w:spacing w:after="120"/>
      </w:pPr>
      <w:r>
        <w:rPr>
          <w:rFonts w:ascii="Calibri" w:hAnsi="Calibri"/>
          <w:b/>
          <w:color w:val="172238"/>
        </w:rPr>
        <w:t xml:space="preserve">Verification: </w:t>
      </w:r>
      <w:r>
        <w:rPr>
          <w:rFonts w:ascii="Calibri" w:hAnsi="Calibri"/>
          <w:color w:val="172238"/>
        </w:rPr>
        <w:t>Run lint, component tests, typecheck, build, and a role-based browser smoke. Attach one screenshot and repeat-run output.</w:t>
      </w:r>
    </w:p>
    <w:p>
      <w:pPr>
        <w:pStyle w:val="Heading2"/>
        <w:keepNext/>
      </w:pPr>
      <w:r>
        <w:t>Recommended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58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238"/>
                <w:sz w:val="19"/>
              </w:rPr>
              <w:t>Criterion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238"/>
                <w:sz w:val="19"/>
              </w:rPr>
              <w:t>Weight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72238"/>
                <w:sz w:val="19"/>
              </w:rPr>
              <w:t>Observable standard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Network boundary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25%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MSW handles the real request; no global fetch mock.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State coverage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25%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All required states and retry transition are observable.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Test resilience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20%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Roles/labels, no sleeps, isolated handlers.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Code quality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15%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Small client boundary, response validation, clear state model.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Evidence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15%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9"/>
              </w:rPr>
              <w:t>Passing output, repetition, browser artifact, concise notes.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Implementation evidence</w:t>
      </w:r>
    </w:p>
    <w:p>
      <w:r>
        <w:t>The completed exercise uses a strict MSW server for component tests and a routed browser response for the smoke test. Assertions remain at the accessibility and user-visible text layer.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2300"/>
        <w:gridCol w:w="35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72238"/>
                <w:sz w:val="18"/>
              </w:rPr>
              <w:t>State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72238"/>
                <w:sz w:val="18"/>
              </w:rPr>
              <w:t>Boundary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72238"/>
                <w:sz w:val="18"/>
              </w:rPr>
              <w:t>Primary query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72238"/>
                <w:sz w:val="18"/>
              </w:rPr>
              <w:t>Expected outcome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Loading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Delayed 200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Named status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Queue replaces loader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Success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Default 200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Case headings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Count and records visible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Server empty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200 with []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Empty copy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No filters or queue cards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Filtered empty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Loaded data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Labeled controls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Distinct no-match copy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Error / retry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503 then 200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Alert + Retry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72238"/>
                <w:sz w:val="18"/>
              </w:rPr>
              <w:t>Queue recovers</w:t>
            </w:r>
          </w:p>
        </w:tc>
      </w:tr>
    </w:tbl>
    <w:p>
      <w:pPr>
        <w:pStyle w:val="Heading2"/>
        <w:keepNext/>
      </w:pPr>
      <w:r>
        <w:t>Browser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 descr="Case dashboard filtered to show the single High-priority Atlas Co c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dashboard-filte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B6678"/>
          <w:sz w:val="18"/>
        </w:rPr>
        <w:t>Figure 1. Chromium smoke test after selecting High priority.</w:t>
      </w:r>
    </w:p>
    <w:p>
      <w:pPr>
        <w:pStyle w:val="Heading2"/>
        <w:keepNext/>
      </w:pPr>
      <w:r>
        <w:t>Verification record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Repository gate: </w:t>
      </w:r>
      <w:r>
        <w:rPr>
          <w:rFonts w:ascii="Calibri" w:hAnsi="Calibri"/>
          <w:color w:val="172238"/>
        </w:rPr>
        <w:t>npm run agent:check - passed all checks and built 32 modules.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Component stability: </w:t>
      </w:r>
      <w:r>
        <w:rPr>
          <w:rFonts w:ascii="Calibri" w:hAnsi="Calibri"/>
          <w:color w:val="172238"/>
        </w:rPr>
        <w:t>10 fresh processes passed.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Browser stability: </w:t>
      </w:r>
      <w:r>
        <w:rPr>
          <w:rFonts w:ascii="Calibri" w:hAnsi="Calibri"/>
          <w:color w:val="172238"/>
        </w:rPr>
        <w:t>10 tests using 2 workers passed in 1.4 minutes.</w:t>
      </w:r>
    </w:p>
    <w:p>
      <w:pPr>
        <w:spacing w:after="120"/>
      </w:pPr>
      <w:r>
        <w:rPr>
          <w:rFonts w:ascii="Calibri" w:hAnsi="Calibri"/>
          <w:b/>
          <w:color w:val="176B45"/>
        </w:rPr>
        <w:t xml:space="preserve">Anti-pattern audit: </w:t>
      </w:r>
      <w:r>
        <w:rPr>
          <w:rFonts w:ascii="Calibri" w:hAnsi="Calibri"/>
          <w:color w:val="172238"/>
        </w:rPr>
        <w:t>No fetch mocks, spies, timeout sleeps, CSS locators, or querySelector calls in the added tests.</w:t>
      </w:r>
    </w:p>
    <w:sectPr w:rsidR="00FC693F" w:rsidRPr="0006063C" w:rsidSect="00034616">
      <w:footerReference w:type="default" r:id="rId9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8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02 - MSW Component Network Boundary Tests Review</dc:title>
  <dc:subject>Completion evidence and exercise quality review</dc:subject>
  <dc:creator>Codex</dc:creator>
  <cp:keywords>MSW, component testing, Playwright, exercise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