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D78"/>
          <w:sz w:val="42"/>
        </w:rPr>
        <w:t>Semgrep Security &amp; A11y Review Gauntlet</w:t>
      </w:r>
    </w:p>
    <w:p>
      <w:pPr>
        <w:spacing w:after="180"/>
      </w:pPr>
      <w:r>
        <w:rPr>
          <w:rFonts w:ascii="Calibri" w:hAnsi="Calibri"/>
          <w:b w:val="0"/>
          <w:color w:val="59647A"/>
          <w:sz w:val="22"/>
        </w:rPr>
        <w:t>Usefulness assessment for junior and senior engineers</w:t>
      </w:r>
    </w:p>
    <w:p>
      <w:pPr>
        <w:spacing w:after="140"/>
      </w:pPr>
      <w:r>
        <w:rPr>
          <w:rFonts w:ascii="Calibri" w:hAnsi="Calibri"/>
          <w:b/>
          <w:color w:val="1F4D78"/>
          <w:sz w:val="21"/>
        </w:rPr>
        <w:t xml:space="preserve">Verdict: Helpful and well-scoped. </w:t>
      </w:r>
      <w:r>
        <w:rPr>
          <w:rFonts w:ascii="Calibri" w:hAnsi="Calibri"/>
          <w:b w:val="0"/>
          <w:sz w:val="21"/>
        </w:rPr>
        <w:t>The exercise forces reviewers to combine static analysis with human judgment. That is the right lesson: Semgrep found the unsafe rendering and semantic regression, while manual review exposed the approval bypass and validation loss.</w:t>
      </w:r>
    </w:p>
    <w:p>
      <w:pPr>
        <w:pStyle w:val="Heading1"/>
      </w:pPr>
      <w:r>
        <w:t>What the exercise teaches</w:t>
      </w:r>
    </w:p>
    <w:p>
      <w:pPr>
        <w:pStyle w:val="ListBullet"/>
        <w:spacing w:after="60"/>
        <w:ind w:left="360" w:hanging="259"/>
      </w:pPr>
      <w:r>
        <w:rPr>
          <w:rFonts w:ascii="Calibri" w:hAnsi="Calibri"/>
          <w:b w:val="0"/>
          <w:sz w:val="20"/>
        </w:rPr>
        <w:t>Rank findings by user and business impact instead of reporting every scanner match.</w:t>
      </w:r>
    </w:p>
    <w:p>
      <w:pPr>
        <w:pStyle w:val="ListBullet"/>
        <w:spacing w:after="60"/>
        <w:ind w:left="360" w:hanging="259"/>
      </w:pPr>
      <w:r>
        <w:rPr>
          <w:rFonts w:ascii="Calibri" w:hAnsi="Calibri"/>
          <w:b w:val="0"/>
          <w:sz w:val="20"/>
        </w:rPr>
        <w:t>Convert confirmed blockers into regression tests before changing implementation.</w:t>
      </w:r>
    </w:p>
    <w:p>
      <w:pPr>
        <w:pStyle w:val="ListBullet"/>
        <w:spacing w:after="60"/>
        <w:ind w:left="360" w:hanging="259"/>
      </w:pPr>
      <w:r>
        <w:rPr>
          <w:rFonts w:ascii="Calibri" w:hAnsi="Calibri"/>
          <w:b w:val="0"/>
          <w:sz w:val="20"/>
        </w:rPr>
        <w:t>Re-review the patched diff and record fix, defer, or dismiss decisions.</w:t>
      </w:r>
    </w:p>
    <w:p>
      <w:pPr>
        <w:pStyle w:val="Heading1"/>
      </w:pPr>
      <w:r>
        <w:t>Audience fit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656"/>
            <w:vAlign w:val="center"/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Level</w:t>
            </w:r>
          </w:p>
        </w:tc>
        <w:tc>
          <w:tcPr>
            <w:tcW w:type="dxa" w:w="3816"/>
            <w:vAlign w:val="center"/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Value</w:t>
            </w:r>
          </w:p>
        </w:tc>
        <w:tc>
          <w:tcPr>
            <w:tcW w:type="dxa" w:w="4176"/>
            <w:vAlign w:val="center"/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Main limitation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Junior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Strong introduction to XSS, native semantics, focused tests, and severity triage.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Needs hints explaining why client-side approval logic is not authoritative.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Senior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Useful as a fast calibration drill for review discipline and evidence quality.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Too small to test threat modeling across API, authorization, and persistence boundaries.</w:t>
            </w:r>
          </w:p>
        </w:tc>
      </w:tr>
    </w:tbl>
    <w:p>
      <w:pPr>
        <w:pStyle w:val="Heading1"/>
      </w:pPr>
      <w:r>
        <w:t>Recommended improvements</w:t>
      </w:r>
    </w:p>
    <w:p>
      <w:pPr>
        <w:spacing w:after="60"/>
        <w:ind w:left="259" w:hanging="259"/>
      </w:pPr>
      <w:r>
        <w:rPr>
          <w:rFonts w:ascii="Calibri" w:hAnsi="Calibri"/>
          <w:b/>
          <w:color w:val="1F4D78"/>
          <w:sz w:val="20"/>
        </w:rPr>
        <w:t>• Add an API boundary.</w:t>
      </w:r>
      <w:r>
        <w:rPr>
          <w:rFonts w:ascii="Calibri" w:hAnsi="Calibri"/>
          <w:b w:val="0"/>
          <w:sz w:val="20"/>
        </w:rPr>
        <w:t xml:space="preserve"> Require server-side transition validation so learners cannot stop at a UI-only fix.</w:t>
      </w:r>
    </w:p>
    <w:p>
      <w:pPr>
        <w:spacing w:after="60"/>
        <w:ind w:left="259" w:hanging="259"/>
      </w:pPr>
      <w:r>
        <w:rPr>
          <w:rFonts w:ascii="Calibri" w:hAnsi="Calibri"/>
          <w:b/>
          <w:color w:val="1F4D78"/>
          <w:sz w:val="20"/>
        </w:rPr>
        <w:t>• Provide a runnable vulnerable branch.</w:t>
      </w:r>
      <w:r>
        <w:rPr>
          <w:rFonts w:ascii="Calibri" w:hAnsi="Calibri"/>
          <w:b w:val="0"/>
          <w:sz w:val="20"/>
        </w:rPr>
        <w:t xml:space="preserve"> The supplied diff is malformed for `git apply`; a branch would make reproduction faster and more realistic.</w:t>
      </w:r>
    </w:p>
    <w:p>
      <w:pPr>
        <w:spacing w:after="60"/>
        <w:ind w:left="259" w:hanging="259"/>
      </w:pPr>
      <w:r>
        <w:rPr>
          <w:rFonts w:ascii="Calibri" w:hAnsi="Calibri"/>
          <w:b/>
          <w:color w:val="1F4D78"/>
          <w:sz w:val="20"/>
        </w:rPr>
        <w:t>• Separate scanner signal from review judgment.</w:t>
      </w:r>
      <w:r>
        <w:rPr>
          <w:rFonts w:ascii="Calibri" w:hAnsi="Calibri"/>
          <w:b w:val="0"/>
          <w:sz w:val="20"/>
        </w:rPr>
        <w:t xml:space="preserve"> Include one intentional Semgrep false positive and one behavior bug Semgrep cannot detect.</w:t>
      </w:r>
    </w:p>
    <w:p>
      <w:pPr>
        <w:spacing w:after="60"/>
        <w:ind w:left="259" w:hanging="259"/>
      </w:pPr>
      <w:r>
        <w:rPr>
          <w:rFonts w:ascii="Calibri" w:hAnsi="Calibri"/>
          <w:b/>
          <w:color w:val="1F4D78"/>
          <w:sz w:val="20"/>
        </w:rPr>
        <w:t>• Scale by level.</w:t>
      </w:r>
      <w:r>
        <w:rPr>
          <w:rFonts w:ascii="Calibri" w:hAnsi="Calibri"/>
          <w:b w:val="0"/>
          <w:sz w:val="20"/>
        </w:rPr>
        <w:t xml:space="preserve"> Give juniors guided acceptance criteria; ask seniors to add policy tests, threat modeling, and CI gating.</w:t>
      </w:r>
    </w:p>
    <w:p>
      <w:pPr>
        <w:pStyle w:val="Heading1"/>
      </w:pPr>
      <w:r>
        <w:t>Overall assessment</w:t>
      </w:r>
    </w:p>
    <w:p>
      <w:pPr>
        <w:spacing w:after="0"/>
      </w:pPr>
      <w:r>
        <w:rPr>
          <w:rFonts w:ascii="Calibri" w:hAnsi="Calibri"/>
          <w:b w:val="0"/>
          <w:sz w:val="20"/>
        </w:rPr>
        <w:t>Best suited to junior-to-mid engineers, with enough ambiguity to be a useful senior warm-up. Its strongest feature is requiring evidence after remediation; its biggest opportunity is adding an authoritative backend policy boundary and a clean, runnable review target.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37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9647A"/>
        <w:sz w:val="16"/>
      </w:rPr>
      <w:t>Prepared 30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9647A"/>
        <w:sz w:val="17"/>
      </w:rPr>
      <w:t>EXERCISE REVIEW  |  CODE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Semgrep Security &amp; A11y Review Gauntlet - Exercise Review</dc:title>
  <dc:subject>Usefulness review for junior and senior engineers</dc:subject>
  <dc:creator>CodeWalnut Exercise Review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