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2E74B5"/>
          <w:sz w:val="18"/>
        </w:rPr>
        <w:t>TEST AUTOMATION · EXERCISE 01</w:t>
      </w:r>
    </w:p>
    <w:p>
      <w:pPr>
        <w:spacing w:before="0" w:after="100"/>
      </w:pPr>
      <w:r>
        <w:rPr>
          <w:rFonts w:ascii="Calibri" w:hAnsi="Calibri"/>
          <w:b/>
          <w:color w:val="0B2545"/>
          <w:sz w:val="48"/>
        </w:rPr>
        <w:t>Playwright MCP Checkout Rescue</w:t>
      </w:r>
    </w:p>
    <w:p>
      <w:pPr>
        <w:spacing w:before="0" w:after="280"/>
      </w:pPr>
      <w:r>
        <w:rPr>
          <w:rFonts w:ascii="Calibri" w:hAnsi="Calibri"/>
          <w:color w:val="667085"/>
          <w:sz w:val="24"/>
        </w:rPr>
        <w:t>Implementation evidence and a concise review of its value for junior and senior engineers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Project: </w:t>
      </w:r>
      <w:r>
        <w:rPr>
          <w:rFonts w:ascii="Calibri" w:hAnsi="Calibri"/>
          <w:color w:val="202124"/>
          <w:sz w:val="20"/>
        </w:rPr>
        <w:t>checkout-e2e-app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Branch: </w:t>
      </w:r>
      <w:r>
        <w:rPr>
          <w:rFonts w:ascii="Calibri" w:hAnsi="Calibri"/>
          <w:color w:val="202124"/>
          <w:sz w:val="20"/>
        </w:rPr>
        <w:t>fix/playwright-checkout-rescue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Assessment date: </w:t>
      </w:r>
      <w:r>
        <w:rPr>
          <w:rFonts w:ascii="Calibri" w:hAnsi="Calibri"/>
          <w:color w:val="202124"/>
          <w:sz w:val="20"/>
        </w:rPr>
        <w:t>30 July 2026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Time-box: </w:t>
      </w:r>
      <w:r>
        <w:rPr>
          <w:rFonts w:ascii="Calibri" w:hAnsi="Calibri"/>
          <w:color w:val="202124"/>
          <w:sz w:val="20"/>
        </w:rPr>
        <w:t>Designed for 30 minutes; source repair required additional work</w:t>
      </w:r>
    </w:p>
    <w:p>
      <w:pPr>
        <w:spacing w:before="80" w:after="200"/>
        <w:ind w:left="259" w:right="173"/>
        <w:shd w:fill="E9F5EE"/>
        <w:pBdr>
          <w:left w:val="single" w:sz="18" w:space="8" w:color="1F6B45"/>
        </w:pBdr>
      </w:pPr>
      <w:r>
        <w:rPr>
          <w:rFonts w:ascii="Calibri" w:hAnsi="Calibri"/>
          <w:b/>
          <w:color w:val="1F6B45"/>
        </w:rPr>
        <w:t xml:space="preserve">Verdict. </w:t>
      </w:r>
      <w:r>
        <w:rPr>
          <w:rFonts w:ascii="Calibri" w:hAnsi="Calibri"/>
          <w:color w:val="202124"/>
        </w:rPr>
        <w:t>Strong junior-level learning objectives, but the current upstream project is not a valid 30-minute checkout-rescue exercise. After the source mismatch is repaired, it is useful for juniors and too shallow for seniors unless an advanced extension is added.</w:t>
      </w:r>
    </w:p>
    <w:p>
      <w:pPr>
        <w:pStyle w:val="Heading1"/>
      </w:pPr>
      <w:r>
        <w:t>1. What the exercise actually shipped</w:t>
      </w:r>
    </w:p>
    <w:p>
      <w:r>
        <w:t>The brief promises brittle checkout coverage around cart, tax quote, payment authorization, and Playwright traces. The repository instead rendered a static lab-contract dashboard. Its starter test slept for 500 ms, searched for a CSS class on an unmounted work-queue component, and timed out after 30 seconds.</w:t>
      </w:r>
      <w:r>
        <w:rPr>
          <w:b/>
        </w:rPr>
        <w:t xml:space="preserve"> This was a deterministic product/test mismatch, not an intermittent checkout failure.</w:t>
      </w:r>
    </w:p>
    <w:p>
      <w:r>
        <w:rPr>
          <w:rFonts w:ascii="Calibri" w:hAnsi="Calibri"/>
          <w:b/>
          <w:color w:val="0B2545"/>
        </w:rPr>
        <w:t xml:space="preserve">Root cause: </w:t>
      </w:r>
      <w:r>
        <w:rPr>
          <w:rFonts w:ascii="Calibri" w:hAnsi="Calibri"/>
          <w:color w:val="202124"/>
        </w:rPr>
        <w:t>The exercise contract, production UI, and starter test were generated from different application concepts. Repository history showed the mismatch was introduced with the current exercise rather than by a later learner change.</w:t>
      </w:r>
    </w:p>
    <w:p>
      <w:r>
        <w:rPr>
          <w:rFonts w:ascii="Calibri" w:hAnsi="Calibri"/>
          <w:b/>
          <w:color w:val="0B2545"/>
        </w:rPr>
        <w:t xml:space="preserve">Consequence: </w:t>
      </w:r>
      <w:r>
        <w:rPr>
          <w:rFonts w:ascii="Calibri" w:hAnsi="Calibri"/>
          <w:color w:val="202124"/>
        </w:rPr>
        <w:t>A learner following only the selector-replacement instruction cannot complete the mission; no checkout path or payment boundary exists to inspect.</w:t>
      </w:r>
    </w:p>
    <w:p>
      <w:pPr>
        <w:pStyle w:val="Heading1"/>
      </w:pPr>
      <w:r>
        <w:t>2. Rescue implemented</w:t>
      </w:r>
    </w:p>
    <w:p>
      <w:r>
        <w:rPr>
          <w:rFonts w:ascii="Calibri" w:hAnsi="Calibri"/>
          <w:b/>
          <w:color w:val="0B2545"/>
        </w:rPr>
        <w:t xml:space="preserve">Real browser flow: </w:t>
      </w:r>
      <w:r>
        <w:rPr>
          <w:rFonts w:ascii="Calibri" w:hAnsi="Calibri"/>
          <w:color w:val="202124"/>
        </w:rPr>
        <w:t>A minimal cart, postal-code tax quote, card authorization, approved confirmation, and declined-payment recovery now run in React.</w:t>
      </w:r>
    </w:p>
    <w:p>
      <w:r>
        <w:rPr>
          <w:rFonts w:ascii="Calibri" w:hAnsi="Calibri"/>
          <w:b/>
          <w:color w:val="0B2545"/>
        </w:rPr>
        <w:t xml:space="preserve">Resilient coverage: </w:t>
      </w:r>
      <w:r>
        <w:rPr>
          <w:rFonts w:ascii="Calibri" w:hAnsi="Calibri"/>
          <w:color w:val="202124"/>
        </w:rPr>
        <w:t>Tests use roles, labels, visible outcomes, and Playwright web-first assertions. Fixed waits, CSS selectors, DOM indexes, and retry-based masking were removed.</w:t>
      </w:r>
    </w:p>
    <w:p>
      <w:r>
        <w:rPr>
          <w:rFonts w:ascii="Calibri" w:hAnsi="Calibri"/>
          <w:b/>
          <w:color w:val="0B2545"/>
        </w:rPr>
        <w:t xml:space="preserve">Boundary isolation: </w:t>
      </w:r>
      <w:r>
        <w:rPr>
          <w:rFonts w:ascii="Calibri" w:hAnsi="Calibri"/>
          <w:color w:val="202124"/>
        </w:rPr>
        <w:t>A custom per-test fixture intercepts only tax and payment requests, records literal payloads, and configures approved or declined authorization without suite-level shared state.</w:t>
      </w:r>
    </w:p>
    <w:p>
      <w:r>
        <w:rPr>
          <w:rFonts w:ascii="Calibri" w:hAnsi="Calibri"/>
          <w:b/>
          <w:color w:val="0B2545"/>
        </w:rPr>
        <w:t xml:space="preserve">Evidence: </w:t>
      </w:r>
      <w:r>
        <w:rPr>
          <w:rFonts w:ascii="Calibri" w:hAnsi="Calibri"/>
          <w:color w:val="202124"/>
        </w:rPr>
        <w:t>Playwright produces a console and HTML report plus a trace, screenshot, and video for every evidence-run test.</w:t>
      </w:r>
    </w:p>
    <w:p>
      <w:pPr>
        <w:pStyle w:val="Heading1"/>
      </w:pPr>
      <w:r>
        <w:t>3. Verification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4510"/>
        <w:gridCol w:w="2500"/>
      </w:tblGrid>
      <w:tr>
        <w:trPr>
          <w:tblHeader w:val="true"/>
          <w:cantSplit/>
        </w:trPr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  <w:tc>
          <w:tcPr>
            <w:tcW w:type="dxa" w:w="4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Observed command or evidence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Outcome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8"/>
              </w:rPr>
              <w:t>Seeded baseline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npm run test:e2e -- --reporter=line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18"/>
              </w:rPr>
              <w:t>Failed: .queue-item timed out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8"/>
              </w:rPr>
              <w:t>Focused flow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npx playwright test --reporter=line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  <w:sz w:val="18"/>
              </w:rPr>
              <w:t>2 passed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8"/>
              </w:rPr>
              <w:t>Parallel repeat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npx playwright test --repeat-each=10 --workers=2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  <w:sz w:val="18"/>
              </w:rPr>
              <w:t>20 passed in 40.2 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8"/>
              </w:rPr>
              <w:t>Repository gate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npm run agent:check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  <w:sz w:val="18"/>
              </w:rPr>
              <w:t>Lint, checks, format, typecheck, build passed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8"/>
              </w:rPr>
              <w:t>Locator audit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Search for waits, CSS locators, nth/first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  <w:sz w:val="18"/>
              </w:rPr>
              <w:t>0 matches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8"/>
              </w:rPr>
              <w:t>Browser artifacts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test-results and HTML report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6B45"/>
                <w:sz w:val="18"/>
              </w:rPr>
              <w:t>20 traces, 20 screenshots, 20 videos</w:t>
            </w:r>
          </w:p>
        </w:tc>
      </w:tr>
    </w:tbl>
    <w:p>
      <w:pPr>
        <w:spacing w:before="120" w:after="80"/>
      </w:pPr>
      <w:r>
        <w:rPr>
          <w:rFonts w:ascii="Calibri" w:hAnsi="Calibri"/>
          <w:i/>
          <w:color w:val="667085"/>
          <w:sz w:val="18"/>
        </w:rPr>
        <w:t>Browser evidence: successful payment confirmation from the repeated parallel run.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Successful checkout browser evidence" descr="Checkout confirmation showing order ORDER-1042 and a charged total of 108 dolla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Audience fit</w:t>
      </w:r>
    </w:p>
    <w:p>
      <w:r>
        <w:rPr>
          <w:rFonts w:ascii="Calibri" w:hAnsi="Calibri"/>
          <w:b/>
          <w:color w:val="0B2545"/>
        </w:rPr>
        <w:t xml:space="preserve">Junior engineers — helpful after repair: </w:t>
      </w:r>
      <w:r>
        <w:rPr>
          <w:rFonts w:ascii="Calibri" w:hAnsi="Calibri"/>
          <w:color w:val="202124"/>
        </w:rPr>
        <w:t>The exercise teaches high-value habits in a compact domain: observe before editing, prefer accessible locators, wait on user-visible state, isolate external boundaries, and prove stability with repetition. The red-green comparison is especially concrete.</w:t>
      </w:r>
    </w:p>
    <w:p>
      <w:r>
        <w:rPr>
          <w:rFonts w:ascii="Calibri" w:hAnsi="Calibri"/>
          <w:b/>
          <w:color w:val="0B2545"/>
        </w:rPr>
        <w:t xml:space="preserve">Junior risk: </w:t>
      </w:r>
      <w:r>
        <w:rPr>
          <w:rFonts w:ascii="Calibri" w:hAnsi="Calibri"/>
          <w:color w:val="202124"/>
        </w:rPr>
        <w:t>In its current upstream form, learners may conclude that they are expected to invent the application. That tests product reconstruction and ambiguity tolerance more than Playwright reliability.</w:t>
      </w:r>
    </w:p>
    <w:p>
      <w:r>
        <w:rPr>
          <w:rFonts w:ascii="Calibri" w:hAnsi="Calibri"/>
          <w:b/>
          <w:color w:val="0B2545"/>
        </w:rPr>
        <w:t xml:space="preserve">Senior engineers — insufficient as written: </w:t>
      </w:r>
      <w:r>
        <w:rPr>
          <w:rFonts w:ascii="Calibri" w:hAnsi="Calibri"/>
          <w:color w:val="202124"/>
        </w:rPr>
        <w:t>Once the source is coherent, the solution is routine. Senior value would require diagnosing a true race, inspecting trace timing, handling parallel data collisions, or choosing the correct mock boundary under realistic constraints.</w:t>
      </w:r>
    </w:p>
    <w:p>
      <w:pPr>
        <w:pStyle w:val="Heading1"/>
      </w:pPr>
      <w:r>
        <w:t>5. How to improve the exercise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0B2545"/>
        </w:rPr>
        <w:t xml:space="preserve">Repair the starter repository. </w:t>
      </w:r>
      <w:r>
        <w:rPr>
          <w:rFonts w:ascii="Calibri" w:hAnsi="Calibri"/>
          <w:color w:val="202124"/>
        </w:rPr>
        <w:t>Ship a functioning checkout whose seeded failures match the brief: a real fixed sleep after authorization, one generated-class selector, and a payment mock with demonstrable cross-test leakage.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0B2545"/>
        </w:rPr>
        <w:t xml:space="preserve">Make the failure reproducible. </w:t>
      </w:r>
      <w:r>
        <w:rPr>
          <w:rFonts w:ascii="Calibri" w:hAnsi="Calibri"/>
          <w:color w:val="202124"/>
        </w:rPr>
        <w:t>Provide a command such as --repeat-each=20 --workers=2 that fails often enough to investigate, while keeping the underlying application deterministic.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0B2545"/>
        </w:rPr>
        <w:t xml:space="preserve">Define the evidence contract. </w:t>
      </w:r>
      <w:r>
        <w:rPr>
          <w:rFonts w:ascii="Calibri" w:hAnsi="Calibri"/>
          <w:color w:val="202124"/>
        </w:rPr>
        <w:t>Specify whether learners must submit a trace.zip, HTML report, screenshot, console transcript, or all four; include paths and a maximum artifact size.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0B2545"/>
        </w:rPr>
        <w:t xml:space="preserve">Add a scoring rubric. </w:t>
      </w:r>
      <w:r>
        <w:rPr>
          <w:rFonts w:ascii="Calibri" w:hAnsi="Calibri"/>
          <w:color w:val="202124"/>
        </w:rPr>
        <w:t>Score role/label locators, absence of fixed waits, mock isolation, request-payload assertions, repeated parallel success, and explanation of the root cause.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0B2545"/>
        </w:rPr>
        <w:t xml:space="preserve">Split junior and senior tracks. </w:t>
      </w:r>
      <w:r>
        <w:rPr>
          <w:rFonts w:ascii="Calibri" w:hAnsi="Calibri"/>
          <w:color w:val="202124"/>
        </w:rPr>
        <w:t>Keep the repaired two-path rescue for juniors. Add a senior extension with worker-index collisions, a delayed tax response, trace-based diagnosis, CI sharding, and a mutation that proves the test catches a regression.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0B2545"/>
        </w:rPr>
        <w:t xml:space="preserve">Clarify PR mechanics. </w:t>
      </w:r>
      <w:r>
        <w:rPr>
          <w:rFonts w:ascii="Calibri" w:hAnsi="Calibri"/>
          <w:color w:val="202124"/>
        </w:rPr>
        <w:t>State whether participants should fork the public repository, which base branch to target, and whether generated evidence belongs in Git or in the PR description.</w:t>
      </w:r>
    </w:p>
    <w:p>
      <w:pPr>
        <w:pStyle w:val="Heading1"/>
      </w:pPr>
      <w:r>
        <w:t>6. Final assessment</w:t>
      </w:r>
    </w:p>
    <w:p>
      <w:r>
        <w:rPr>
          <w:rFonts w:ascii="Calibri" w:hAnsi="Calibri"/>
          <w:b/>
          <w:color w:val="0B2545"/>
        </w:rPr>
        <w:t xml:space="preserve">Learning value: </w:t>
      </w:r>
      <w:r>
        <w:rPr>
          <w:rFonts w:ascii="Calibri" w:hAnsi="Calibri"/>
          <w:color w:val="202124"/>
        </w:rPr>
        <w:t>Good for juniors after source repair; limited for seniors without an advanced extension.</w:t>
      </w:r>
    </w:p>
    <w:p>
      <w:r>
        <w:rPr>
          <w:rFonts w:ascii="Calibri" w:hAnsi="Calibri"/>
          <w:b/>
          <w:color w:val="0B2545"/>
        </w:rPr>
        <w:t xml:space="preserve">Current exercise quality: </w:t>
      </w:r>
      <w:r>
        <w:rPr>
          <w:rFonts w:ascii="Calibri" w:hAnsi="Calibri"/>
          <w:color w:val="202124"/>
        </w:rPr>
        <w:t>Not ready for unsupervised use because the shipped application does not contain the workflow being tested.</w:t>
      </w:r>
    </w:p>
    <w:p>
      <w:r>
        <w:rPr>
          <w:rFonts w:ascii="Calibri" w:hAnsi="Calibri"/>
          <w:b/>
          <w:color w:val="0B2545"/>
        </w:rPr>
        <w:t xml:space="preserve">Recommended disposition: </w:t>
      </w:r>
      <w:r>
        <w:rPr>
          <w:rFonts w:ascii="Calibri" w:hAnsi="Calibri"/>
          <w:color w:val="202124"/>
        </w:rPr>
        <w:t>Adopt the repaired starter, retain the 30-minute junior challenge, and publish a separate senior track with trace-led diagnosis and parallel-state complexity.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Page </w:t>
    </w:r>
    <w:r>
      <w:rPr>
        <w:rFonts w:ascii="Calibri" w:hAnsi="Calibr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2" w:val="right"/>
      </w:tabs>
      <w:spacing w:after="0"/>
    </w:pPr>
    <w:r>
      <w:rPr>
        <w:rFonts w:ascii="Calibri" w:hAnsi="Calibri"/>
        <w:b/>
        <w:color w:val="667085"/>
        <w:sz w:val="17"/>
      </w:rPr>
      <w:t>EXERCISE REVIEW</w:t>
    </w:r>
    <w:r>
      <w:tab/>
    </w:r>
    <w:r>
      <w:rPr>
        <w:rFonts w:ascii="Calibri" w:hAnsi="Calibri"/>
        <w:color w:val="667085"/>
        <w:sz w:val="17"/>
      </w:rPr>
      <w:t>30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01: Playwright MCP Checkout Rescue - Review</dc:title>
  <dc:subject>Implementation evidence and exercise-quality assessment</dc:subject>
  <dc:creator>OpenAI Codex</dc:creator>
  <cp:keywords>Playwright, checkout, E2E, test automation, exercise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