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Specialist Subagent NFR Review</w:t>
      </w:r>
    </w:p>
    <w:p>
      <w:pPr>
        <w:spacing w:after="160"/>
      </w:pPr>
      <w:r>
        <w:rPr>
          <w:rFonts w:ascii="Calibri" w:hAnsi="Calibri"/>
          <w:color w:val="5A5A5A"/>
          <w:sz w:val="22"/>
        </w:rPr>
        <w:t>Exercise 02 | One-page usefulness review</w:t>
      </w:r>
    </w:p>
    <w:p>
      <w:pPr>
        <w:spacing w:after="140"/>
        <w:pBdr>
          <w:bottom w:val="single" w:sz="12" w:color="2E74B5"/>
        </w:pBdr>
      </w:pPr>
    </w:p>
    <w:p>
      <w:pPr>
        <w:pStyle w:val="Heading1"/>
      </w:pPr>
      <w:r>
        <w:t>Verdict</w:t>
      </w:r>
    </w:p>
    <w:p>
      <w:r>
        <w:rPr>
          <w:b/>
        </w:rPr>
        <w:t xml:space="preserve">Very useful, particularly for mid-level and senior engineers. </w:t>
      </w:r>
      <w:r>
        <w:t>It teaches that specialist reviews generate inputs, not automatic changes. The accountable engineer must compare evidence, reject unsupported optimization, defer environment-owned controls, and implement only the highest-value risks with regression coverage.</w:t>
      </w:r>
    </w:p>
    <w:p>
      <w:pPr>
        <w:pStyle w:val="Heading1"/>
      </w:pPr>
      <w:r>
        <w:t>What the completed exercise demonstrated</w:t>
      </w:r>
    </w:p>
    <w:p>
      <w:pPr>
        <w:pStyle w:val="CompactBullet"/>
      </w:pPr>
      <w:r>
        <w:rPr>
          <w:b/>
        </w:rPr>
        <w:t xml:space="preserve">• </w:t>
      </w:r>
      <w:r>
        <w:t>Four independent reports covering security, accessibility, measured performance, and testability.</w:t>
      </w:r>
    </w:p>
    <w:p>
      <w:pPr>
        <w:pStyle w:val="CompactBullet"/>
      </w:pPr>
      <w:r>
        <w:rPr>
          <w:b/>
        </w:rPr>
        <w:t xml:space="preserve">• </w:t>
      </w:r>
      <w:r>
        <w:t>A complete fix/defer/dismiss ledger with ownership, triggers, and residual risk.</w:t>
      </w:r>
    </w:p>
    <w:p>
      <w:pPr>
        <w:pStyle w:val="CompactBullet"/>
      </w:pPr>
      <w:r>
        <w:rPr>
          <w:b/>
        </w:rPr>
        <w:t xml:space="preserve">• </w:t>
      </w:r>
      <w:r>
        <w:t>Top fixes: mount the real workflow, reset stale drafts, expose async/error status, explain validation, and execute runtime tests.</w:t>
      </w:r>
    </w:p>
    <w:p>
      <w:pPr>
        <w:pStyle w:val="CompactBullet"/>
      </w:pPr>
      <w:r>
        <w:rPr>
          <w:b/>
        </w:rPr>
        <w:t xml:space="preserve">• </w:t>
      </w:r>
      <w:r>
        <w:t>Final gate: 3 test files, 5 tests, contract check, lint, format, typecheck, and production build passed.</w:t>
      </w:r>
    </w:p>
    <w:p>
      <w:pPr>
        <w:pStyle w:val="Heading1"/>
      </w:pPr>
      <w:r>
        <w:t>Audience fit</w:t>
      </w:r>
    </w:p>
    <w:p>
      <w:r>
        <w:rPr>
          <w:b/>
        </w:rPr>
        <w:t xml:space="preserve">Juniors: </w:t>
      </w:r>
      <w:r>
        <w:t>Helpful for learning NFR categories, but four specialist reports can overwhelm without a supplied severity rubric and examples of valid dismissal.</w:t>
      </w:r>
    </w:p>
    <w:p>
      <w:r>
        <w:rPr>
          <w:b/>
        </w:rPr>
        <w:t xml:space="preserve">Seniors: </w:t>
      </w:r>
      <w:r>
        <w:t>Strong exercise in evidence-based triage, ownership, and avoiding cargo-cult fixes. It could go further on threat modeling, performance budgets, assistive-technology verification, and service-level test architecture.</w:t>
      </w:r>
    </w:p>
    <w:p>
      <w:pPr>
        <w:pStyle w:val="Heading1"/>
      </w:pPr>
      <w:r>
        <w:t>Recommended improvements</w:t>
      </w:r>
    </w:p>
    <w:p>
      <w:pPr>
        <w:pStyle w:val="CompactBullet"/>
      </w:pPr>
      <w:r>
        <w:rPr>
          <w:b/>
        </w:rPr>
        <w:t xml:space="preserve">• </w:t>
      </w:r>
      <w:r>
        <w:t>Mount the intended workflow in the starter; currently the most important defect is that the feature is unreachable.</w:t>
      </w:r>
    </w:p>
    <w:p>
      <w:pPr>
        <w:pStyle w:val="CompactBullet"/>
      </w:pPr>
      <w:r>
        <w:rPr>
          <w:b/>
        </w:rPr>
        <w:t xml:space="preserve">• </w:t>
      </w:r>
      <w:r>
        <w:t>Provide one shared report schema and a severity calibration example so specialist outputs are comparable.</w:t>
      </w:r>
    </w:p>
    <w:p>
      <w:pPr>
        <w:pStyle w:val="CompactBullet"/>
      </w:pPr>
      <w:r>
        <w:rPr>
          <w:b/>
        </w:rPr>
        <w:t xml:space="preserve">• </w:t>
      </w:r>
      <w:r>
        <w:t>Require every performance finding to include a before/after metric and every accessibility finding to include keyboard or assistive-technology evidence.</w:t>
      </w:r>
    </w:p>
    <w:p>
      <w:pPr>
        <w:pStyle w:val="CompactBullet"/>
      </w:pPr>
      <w:r>
        <w:rPr>
          <w:b/>
        </w:rPr>
        <w:t xml:space="preserve">• </w:t>
      </w:r>
      <w:r>
        <w:t>Add conflicting specialist recommendations so senior candidates must explain trade-offs, risk acceptance, and decision authority.</w:t>
      </w:r>
    </w:p>
    <w:p>
      <w:pPr>
        <w:pStyle w:val="Heading1"/>
      </w:pPr>
      <w:r>
        <w:t>Overall assessment</w:t>
      </w:r>
    </w:p>
    <w:p>
      <w:r>
        <w:t>Keep the exercise. It captures a genuinely valuable engineering skill: using parallel expertise without surrendering judgment. Clearer starter behavior and tiered evidence expectations would make it fairer for juniors and deeper for seniors.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CodeWalnut Agentic Engineering Exercises | Independent implementation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7"/>
      </w:rPr>
      <w:t>EXERCISE REVIEW  |  30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/>
      <w:ind w:left="547" w:hanging="27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02 - Specialist Subagent NFR Review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