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1F4D78"/>
          <w:sz w:val="42"/>
        </w:rPr>
        <w:t>Superpowers Fresh-Agent Diff Triage</w:t>
      </w:r>
    </w:p>
    <w:p>
      <w:pPr>
        <w:spacing w:after="180"/>
      </w:pPr>
      <w:r>
        <w:rPr>
          <w:rFonts w:ascii="Calibri" w:hAnsi="Calibri"/>
          <w:b w:val="0"/>
          <w:color w:val="59647A"/>
          <w:sz w:val="22"/>
        </w:rPr>
        <w:t>Usefulness assessment for junior and senior engineers</w:t>
      </w:r>
    </w:p>
    <w:p>
      <w:pPr>
        <w:spacing w:after="140"/>
      </w:pPr>
      <w:r>
        <w:rPr>
          <w:rFonts w:ascii="Calibri" w:hAnsi="Calibri"/>
          <w:b/>
          <w:color w:val="1F4D78"/>
          <w:sz w:val="21"/>
        </w:rPr>
        <w:t xml:space="preserve">Verdict: Very useful as a review-discipline exercise. </w:t>
      </w:r>
      <w:r>
        <w:rPr>
          <w:rFonts w:ascii="Calibri" w:hAnsi="Calibri"/>
          <w:b w:val="0"/>
          <w:sz w:val="21"/>
        </w:rPr>
        <w:t>It demonstrates that implementation familiarity creates blind spots and that a fresh reviewer can expose data loss, stale persistence, unsafe parsing, shared-state mutation, and even an invalid patch context.</w:t>
      </w:r>
    </w:p>
    <w:p>
      <w:pPr>
        <w:pStyle w:val="Heading1"/>
      </w:pPr>
      <w:r>
        <w:t>What the exercise teaches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Separate reviewer signal from the accountable owner's fix, defer, or dismiss decision.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Reproduce findings with focused tests before changing implementation.</w:t>
      </w:r>
    </w:p>
    <w:p>
      <w:pPr>
        <w:pStyle w:val="ListBullet"/>
        <w:spacing w:after="60"/>
        <w:ind w:left="360" w:hanging="259"/>
      </w:pPr>
      <w:r>
        <w:rPr>
          <w:rFonts w:ascii="Calibri" w:hAnsi="Calibri"/>
          <w:b w:val="0"/>
          <w:sz w:val="20"/>
        </w:rPr>
        <w:t>Treat patch applicability and base/head context as review blockers, not administrative details.</w:t>
      </w:r>
    </w:p>
    <w:p>
      <w:pPr>
        <w:pStyle w:val="Heading1"/>
      </w:pPr>
      <w:r>
        <w:t>Audience fit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65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Level</w:t>
            </w:r>
          </w:p>
        </w:tc>
        <w:tc>
          <w:tcPr>
            <w:tcW w:type="dxa" w:w="381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Value</w:t>
            </w:r>
          </w:p>
        </w:tc>
        <w:tc>
          <w:tcPr>
            <w:tcW w:type="dxa" w:w="4176"/>
            <w:vAlign w:val="center"/>
            <w:shd w:fill="F2F4F7"/>
          </w:tcPr>
          <w:p>
            <w:r>
              <w:rPr>
                <w:rFonts w:ascii="Calibri" w:hAnsi="Calibri"/>
                <w:b/>
                <w:color w:val="1F4D78"/>
                <w:sz w:val="19"/>
              </w:rPr>
              <w:t>Main limitation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Junior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Strong practice in reading diffs, confirming impact, and writing regression tests.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Needs a model example distinguishing an observation from a merge blocker.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sz w:val="18"/>
              </w:rPr>
              <w:t>Senior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Good calibration drill for review handoffs, patch context, and data-consistency risk.</w:t>
            </w:r>
          </w:p>
        </w:tc>
        <w:tc>
          <w:tcPr>
            <w:tcW w:type="dxa" w:w="4176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8"/>
              </w:rPr>
              <w:t>The cache model is too small to explore concurrency, migrations, or distributed ownership.</w:t>
            </w:r>
          </w:p>
        </w:tc>
      </w:tr>
    </w:tbl>
    <w:p>
      <w:pPr>
        <w:pStyle w:val="Heading1"/>
      </w:pPr>
      <w:r>
        <w:t>Recommended improvements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Ship an applicable review branch.</w:t>
      </w:r>
      <w:r>
        <w:rPr>
          <w:rFonts w:ascii="Calibri" w:hAnsi="Calibri"/>
          <w:b w:val="0"/>
          <w:sz w:val="20"/>
        </w:rPr>
        <w:t xml:space="preserve"> The supplied diff is corrupt and its App hunk targets a different base component.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Define base and head SHAs.</w:t>
      </w:r>
      <w:r>
        <w:rPr>
          <w:rFonts w:ascii="Calibri" w:hAnsi="Calibri"/>
          <w:b w:val="0"/>
          <w:sz w:val="20"/>
        </w:rPr>
        <w:t xml:space="preserve"> Fresh-agent review is much stronger when the exact comparison range is reproducible.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Add deliberate reviewer noise.</w:t>
      </w:r>
      <w:r>
        <w:rPr>
          <w:rFonts w:ascii="Calibri" w:hAnsi="Calibri"/>
          <w:b w:val="0"/>
          <w:sz w:val="20"/>
        </w:rPr>
        <w:t xml:space="preserve"> Include one plausible but false finding so learners must demonstrate dismissal evidence.</w:t>
      </w:r>
    </w:p>
    <w:p>
      <w:pPr>
        <w:spacing w:after="60"/>
        <w:ind w:left="259" w:hanging="259"/>
      </w:pPr>
      <w:r>
        <w:rPr>
          <w:rFonts w:ascii="Calibri" w:hAnsi="Calibri"/>
          <w:b/>
          <w:color w:val="1F4D78"/>
          <w:sz w:val="20"/>
        </w:rPr>
        <w:t>• Create senior extensions.</w:t>
      </w:r>
      <w:r>
        <w:rPr>
          <w:rFonts w:ascii="Calibri" w:hAnsi="Calibri"/>
          <w:b w:val="0"/>
          <w:sz w:val="20"/>
        </w:rPr>
        <w:t xml:space="preserve"> Add cache schema migration, concurrent-tab updates, quota failure, and server reconciliation.</w:t>
      </w:r>
    </w:p>
    <w:p>
      <w:pPr>
        <w:pStyle w:val="Heading1"/>
      </w:pPr>
      <w:r>
        <w:t>Overall assessment</w:t>
      </w:r>
    </w:p>
    <w:p>
      <w:pPr>
        <w:spacing w:after="0"/>
      </w:pPr>
      <w:r>
        <w:rPr>
          <w:rFonts w:ascii="Calibri" w:hAnsi="Calibri"/>
          <w:b w:val="0"/>
          <w:sz w:val="20"/>
        </w:rPr>
        <w:t>Best suited to junior-to-mid engineers and valuable as a short senior warm-up. Its key strength is making independent review and human triage observable; its biggest weakness is that the supplied patch cannot be applied cleanly to the supplied base.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1037" w:left="1152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9647A"/>
        <w:sz w:val="16"/>
      </w:rPr>
      <w:t>Prepared 30 July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9647A"/>
        <w:sz w:val="17"/>
      </w:rPr>
      <w:t>EXERCISE REVIEW  |  CODE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Fresh-Agent Diff Triage - Exercise Review</dc:title>
  <dc:subject>Usefulness review for junior and senior engineers</dc:subject>
  <dc:creator>CodeWalnut Exercise 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