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Calibri" w:hAnsi="Calibri"/>
          <w:b/>
          <w:color w:val="1F4D78"/>
          <w:sz w:val="44"/>
        </w:rPr>
        <w:t>Pact Workflow Contract Gate</w:t>
      </w:r>
    </w:p>
    <w:p>
      <w:pPr>
        <w:spacing w:before="0" w:after="200" w:line="240" w:lineRule="auto"/>
      </w:pPr>
      <w:r>
        <w:rPr>
          <w:rFonts w:ascii="Calibri" w:hAnsi="Calibri"/>
          <w:b/>
          <w:color w:val="5A626C"/>
          <w:sz w:val="23"/>
        </w:rPr>
        <w:t>Exercise 03 usefulness review</w:t>
      </w:r>
    </w:p>
    <w:p>
      <w:pPr>
        <w:spacing w:before="0" w:after="160" w:line="264" w:lineRule="auto"/>
        <w:shd w:fill="E8EEF5"/>
        <w:ind w:left="173" w:right="173"/>
      </w:pPr>
      <w:r>
        <w:rPr>
          <w:rFonts w:ascii="Calibri" w:hAnsi="Calibri"/>
          <w:b/>
          <w:color w:val="1F4D78"/>
          <w:sz w:val="20"/>
        </w:rPr>
        <w:t xml:space="preserve">VERDICT  </w:t>
      </w:r>
      <w:r>
        <w:rPr>
          <w:rFonts w:ascii="Calibri" w:hAnsi="Calibri"/>
          <w:b w:val="0"/>
          <w:color w:val="000000"/>
          <w:sz w:val="21"/>
        </w:rPr>
        <w:t>Useful and realistic for mid-level engineers; valuable for juniors with a small scaffold, but too introductory for seniors unless CI and Pact Broker concerns are added.</w:t>
      </w:r>
    </w:p>
    <w:p>
      <w:pPr>
        <w:pStyle w:val="Heading2"/>
      </w:pPr>
      <w:r>
        <w:t>What the exercise teaches well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 xml:space="preserve">The task makes the service boundary concrete: the consumer defines examples and matchers, writes a versioned contract, and the Spring provider proves it still satisfies that agreement. Using the production UI client is especially useful because it caught a real integration gap: the supplied UI used local fixtures and never called the API. The completed solution also exposed the field translation from UI </w:t>
      </w:r>
      <w:r>
        <w:rPr>
          <w:rFonts w:ascii="Calibri" w:hAnsi="Calibri"/>
          <w:b/>
          <w:color w:val="1F4D78"/>
          <w:sz w:val="22"/>
        </w:rPr>
        <w:t>note</w:t>
      </w:r>
      <w:r>
        <w:rPr>
          <w:rFonts w:ascii="Calibri" w:hAnsi="Calibri"/>
          <w:b w:val="0"/>
          <w:color w:val="000000"/>
          <w:sz w:val="22"/>
        </w:rPr>
        <w:t xml:space="preserve"> to API </w:t>
      </w:r>
      <w:r>
        <w:rPr>
          <w:rFonts w:ascii="Calibri" w:hAnsi="Calibri"/>
          <w:b/>
          <w:color w:val="1F4D78"/>
          <w:sz w:val="22"/>
        </w:rPr>
        <w:t>evidenceNote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pStyle w:val="Heading2"/>
      </w:pPr>
      <w:r>
        <w:t>Audience fit</w:t>
      </w:r>
    </w:p>
    <w:p>
      <w:pPr>
        <w:spacing w:before="0" w:after="120" w:line="264" w:lineRule="auto"/>
      </w:pPr>
      <w:r>
        <w:rPr>
          <w:rFonts w:ascii="Calibri" w:hAnsi="Calibri"/>
          <w:b/>
          <w:color w:val="1F4D78"/>
          <w:sz w:val="22"/>
        </w:rPr>
        <w:t xml:space="preserve">Junior: </w:t>
      </w:r>
      <w:r>
        <w:rPr>
          <w:rFonts w:ascii="Calibri" w:hAnsi="Calibri"/>
          <w:b w:val="0"/>
          <w:color w:val="000000"/>
          <w:sz w:val="22"/>
        </w:rPr>
        <w:t>Helpful after basic HTTP and test-double concepts are introduced. Starting both Pact stacks from scratch may otherwise consume the timebox.</w:t>
      </w:r>
    </w:p>
    <w:p>
      <w:pPr>
        <w:spacing w:before="0" w:after="120" w:line="264" w:lineRule="auto"/>
      </w:pPr>
      <w:r>
        <w:rPr>
          <w:rFonts w:ascii="Calibri" w:hAnsi="Calibri"/>
          <w:b/>
          <w:color w:val="1F4D78"/>
          <w:sz w:val="22"/>
        </w:rPr>
        <w:t xml:space="preserve">Mid-level: </w:t>
      </w:r>
      <w:r>
        <w:rPr>
          <w:rFonts w:ascii="Calibri" w:hAnsi="Calibri"/>
          <w:b w:val="0"/>
          <w:color w:val="000000"/>
          <w:sz w:val="22"/>
        </w:rPr>
        <w:t>Best fit. It exercises boundary design, consumer/provider responsibilities, state setup, and build-gate thinking in a compact task.</w:t>
      </w:r>
    </w:p>
    <w:p>
      <w:pPr>
        <w:spacing w:before="0" w:after="120" w:line="264" w:lineRule="auto"/>
      </w:pPr>
      <w:r>
        <w:rPr>
          <w:rFonts w:ascii="Calibri" w:hAnsi="Calibri"/>
          <w:b/>
          <w:color w:val="1F4D78"/>
          <w:sz w:val="22"/>
        </w:rPr>
        <w:t xml:space="preserve">Senior: </w:t>
      </w:r>
      <w:r>
        <w:rPr>
          <w:rFonts w:ascii="Calibri" w:hAnsi="Calibri"/>
          <w:b w:val="0"/>
          <w:color w:val="000000"/>
          <w:sz w:val="22"/>
        </w:rPr>
        <w:t>Useful as a quick refresher, but the local-file workflow is not enough to test release coordination or governance judgment.</w:t>
      </w:r>
    </w:p>
    <w:p>
      <w:pPr>
        <w:pStyle w:val="Heading2"/>
      </w:pPr>
      <w:r>
        <w:t>Recommended improvements</w:t>
      </w:r>
    </w:p>
    <w:p>
      <w:pPr>
        <w:spacing w:before="0" w:after="120" w:line="264" w:lineRule="auto"/>
      </w:pPr>
      <w:r>
        <w:rPr>
          <w:rFonts w:ascii="Calibri" w:hAnsi="Calibri"/>
          <w:b/>
          <w:color w:val="1F4D78"/>
          <w:sz w:val="22"/>
        </w:rPr>
        <w:t xml:space="preserve">Reduce setup tax: </w:t>
      </w:r>
      <w:r>
        <w:rPr>
          <w:rFonts w:ascii="Calibri" w:hAnsi="Calibri"/>
          <w:b w:val="0"/>
          <w:color w:val="000000"/>
          <w:sz w:val="22"/>
        </w:rPr>
        <w:t>Pin dependencies, include a Maven wrapper, and provide one failing skeleton test so the 30 minutes focus on contract design.</w:t>
      </w:r>
    </w:p>
    <w:p>
      <w:pPr>
        <w:spacing w:before="0" w:after="120" w:line="264" w:lineRule="auto"/>
      </w:pPr>
      <w:r>
        <w:rPr>
          <w:rFonts w:ascii="Calibri" w:hAnsi="Calibri"/>
          <w:b/>
          <w:color w:val="1F4D78"/>
          <w:sz w:val="22"/>
        </w:rPr>
        <w:t xml:space="preserve">Clarify acceptance: </w:t>
      </w:r>
      <w:r>
        <w:rPr>
          <w:rFonts w:ascii="Calibri" w:hAnsi="Calibri"/>
          <w:b w:val="0"/>
          <w:color w:val="000000"/>
          <w:sz w:val="22"/>
        </w:rPr>
        <w:t>Name the required interactions, expected provider states, and one command that represents the complete gate.</w:t>
      </w:r>
    </w:p>
    <w:p>
      <w:pPr>
        <w:spacing w:before="0" w:after="120" w:line="264" w:lineRule="auto"/>
      </w:pPr>
      <w:r>
        <w:rPr>
          <w:rFonts w:ascii="Calibri" w:hAnsi="Calibri"/>
          <w:b/>
          <w:color w:val="1F4D78"/>
          <w:sz w:val="22"/>
        </w:rPr>
        <w:t xml:space="preserve">Add depth: </w:t>
      </w:r>
      <w:r>
        <w:rPr>
          <w:rFonts w:ascii="Calibri" w:hAnsi="Calibri"/>
          <w:b w:val="0"/>
          <w:color w:val="000000"/>
          <w:sz w:val="22"/>
        </w:rPr>
        <w:t>Make Pact Broker publishing, can-i-deploy, version tags, and CI ordering an optional senior extension.</w:t>
      </w:r>
    </w:p>
    <w:p>
      <w:pPr>
        <w:pStyle w:val="Heading2"/>
      </w:pPr>
      <w:r>
        <w:t>Observed completion evidence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The consumer gate passed 2 interactions (workflow list and decision submission); the provider verified both Pact interactions, with 4 total provider tests passing and a successful production UI build.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color w:val="5A626C"/>
        <w:sz w:val="17"/>
      </w:rPr>
      <w:t>Exercise 03  |  30 July 2026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color w:val="5A626C"/>
        <w:sz w:val="17"/>
      </w:rPr>
      <w:t>TEST AUTOMATION EXERCISE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03 - Pact Workflow Contract Gate Review</dc:title>
  <dc:subject>One-page usefulness review</dc:subject>
  <dc:creator>Code Walnut Exercise Review</dc:creator>
  <cp:keywords>Pact, contract testing, exercise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