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44"/>
        </w:rPr>
        <w:t>jscodeshift Migration Playbook Skill</w:t>
      </w:r>
    </w:p>
    <w:p>
      <w:pPr>
        <w:spacing w:after="160"/>
      </w:pPr>
      <w:r>
        <w:rPr>
          <w:rFonts w:ascii="Calibri" w:hAnsi="Calibri"/>
          <w:color w:val="5A5A5A"/>
          <w:sz w:val="22"/>
        </w:rPr>
        <w:t>Exercise 02 | One-page usefulness review</w:t>
      </w:r>
    </w:p>
    <w:p>
      <w:pPr>
        <w:spacing w:after="140"/>
        <w:pBdr>
          <w:bottom w:val="single" w:sz="12" w:color="2E74B5"/>
        </w:pBdr>
      </w:pPr>
    </w:p>
    <w:p>
      <w:pPr>
        <w:pStyle w:val="Heading1"/>
      </w:pPr>
      <w:r>
        <w:t>Verdict</w:t>
      </w:r>
    </w:p>
    <w:p>
      <w:r>
        <w:rPr>
          <w:b/>
        </w:rPr>
        <w:t xml:space="preserve">Helpful, especially for junior-to-mid-level engineers. </w:t>
      </w:r>
      <w:r>
        <w:t>It turns an abstract AST migration into a safe sequence: characterize behavior, test fixtures, prove idempotence, dry-run a bounded slice, apply it, and stop before shared foundations. Seniors will recognize the workflow, but its packaging and evidence contract still make a useful team standard.</w:t>
      </w:r>
    </w:p>
    <w:p>
      <w:pPr>
        <w:pStyle w:val="Heading1"/>
      </w:pPr>
      <w:r>
        <w:t>What the completed slice demonstrated</w:t>
      </w:r>
    </w:p>
    <w:p>
      <w:pPr>
        <w:pStyle w:val="CompactBullet"/>
      </w:pPr>
      <w:r>
        <w:rPr>
          <w:b/>
        </w:rPr>
        <w:t xml:space="preserve">• </w:t>
      </w:r>
      <w:r>
        <w:t>A reusable Agent Skill covering inventory, batching, dry runs, stop conditions, and evidence.</w:t>
      </w:r>
    </w:p>
    <w:p>
      <w:pPr>
        <w:pStyle w:val="CompactBullet"/>
      </w:pPr>
      <w:r>
        <w:rPr>
          <w:b/>
        </w:rPr>
        <w:t xml:space="preserve">• </w:t>
      </w:r>
      <w:r>
        <w:t>A jscodeshift transform that marks one named TypeScript props interface readonly.</w:t>
      </w:r>
    </w:p>
    <w:p>
      <w:pPr>
        <w:pStyle w:val="CompactBullet"/>
      </w:pPr>
      <w:r>
        <w:rPr>
          <w:b/>
        </w:rPr>
        <w:t xml:space="preserve">• </w:t>
      </w:r>
      <w:r>
        <w:t>One real PageHeader slice migrated without changing content or button semantics.</w:t>
      </w:r>
    </w:p>
    <w:p>
      <w:pPr>
        <w:pStyle w:val="CompactBullet"/>
      </w:pPr>
      <w:r>
        <w:rPr>
          <w:b/>
        </w:rPr>
        <w:t xml:space="preserve">• </w:t>
      </w:r>
      <w:r>
        <w:t>Evidence: 3 codemod tests, 1 behavior test, 4 trigger cases, lint, format, typecheck, and build passed.</w:t>
      </w:r>
    </w:p>
    <w:p>
      <w:pPr>
        <w:pStyle w:val="Heading1"/>
      </w:pPr>
      <w:r>
        <w:t>Audience fit</w:t>
      </w:r>
    </w:p>
    <w:p>
      <w:r>
        <w:rPr>
          <w:b/>
        </w:rPr>
        <w:t xml:space="preserve">Juniors: </w:t>
      </w:r>
      <w:r>
        <w:t>A strong introduction to migration safety and regression evidence, though it assumes some AST familiarity.</w:t>
      </w:r>
    </w:p>
    <w:p>
      <w:r>
        <w:rPr>
          <w:b/>
        </w:rPr>
        <w:t xml:space="preserve">Seniors: </w:t>
      </w:r>
      <w:r>
        <w:t>Useful as a playbook-design exercise; the slice is too small to test rollout governance, ownership, CI gates, or recovery at scale.</w:t>
      </w:r>
    </w:p>
    <w:p>
      <w:pPr>
        <w:pStyle w:val="Heading1"/>
      </w:pPr>
      <w:r>
        <w:t>Recommended improvements</w:t>
      </w:r>
    </w:p>
    <w:p>
      <w:pPr>
        <w:pStyle w:val="CompactBullet"/>
      </w:pPr>
      <w:r>
        <w:rPr>
          <w:b/>
        </w:rPr>
        <w:t xml:space="preserve">• </w:t>
      </w:r>
      <w:r>
        <w:t>Include an actually legacy starter component and name the target; the current project was already modern TSX, so the slice had to be inferred.</w:t>
      </w:r>
    </w:p>
    <w:p>
      <w:pPr>
        <w:pStyle w:val="CompactBullet"/>
      </w:pPr>
      <w:r>
        <w:rPr>
          <w:b/>
        </w:rPr>
        <w:t xml:space="preserve">• </w:t>
      </w:r>
      <w:r>
        <w:t>Add a short AST primer and one intentionally failing fixture for juniors.</w:t>
      </w:r>
    </w:p>
    <w:p>
      <w:pPr>
        <w:pStyle w:val="CompactBullet"/>
      </w:pPr>
      <w:r>
        <w:rPr>
          <w:b/>
        </w:rPr>
        <w:t xml:space="preserve">• </w:t>
      </w:r>
      <w:r>
        <w:t>Add a second batch, CI contract, rollback requirement, and migration metrics for seniors.</w:t>
      </w:r>
    </w:p>
    <w:p>
      <w:pPr>
        <w:pStyle w:val="CompactBullet"/>
      </w:pPr>
      <w:r>
        <w:rPr>
          <w:b/>
        </w:rPr>
        <w:t xml:space="preserve">• </w:t>
      </w:r>
      <w:r>
        <w:t>Publish acceptance criteria for allowed files, behavior invariants, idempotence, and PR evidence.</w:t>
      </w:r>
    </w:p>
    <w:p>
      <w:pPr>
        <w:pStyle w:val="Heading1"/>
      </w:pPr>
      <w:r>
        <w:t>Overall assessment</w:t>
      </w:r>
    </w:p>
    <w:p>
      <w:r>
        <w:t>Keep the exercise. With a genuine legacy fixture and tiered extensions, it becomes a practical time-boxed test of safe automation rather than merely codemod syntax.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6"/>
      </w:rPr>
      <w:t>CodeWalnut Agentic Engineering Exercises | Independent implementation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7"/>
      </w:rPr>
      <w:t>EXERCISE REVIEW  |  30 JUL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60"/>
      <w:ind w:left="547" w:hanging="274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02 - jscodeshift Migration Playbook Skill Review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