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Heading1"/>
        <w:jc w:val="center"/>
      </w:pPr>
      <w:r>
        <w:rPr>
          <w:color w:val="88AB8E"/>
          <w:sz w:val="100"/>
        </w:rPr>
        <w:t>CYPHERA REPORT</w:t>
      </w:r>
    </w:p>
    <w:p/>
    <w:p/>
    <w:p>
      <w:pPr>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placeholder footer.png"/>
                    <pic:cNvPicPr/>
                  </pic:nvPicPr>
                  <pic:blipFill>
                    <a:blip r:embed="rId9"/>
                    <a:stretch>
                      <a:fillRect/>
                    </a:stretch>
                  </pic:blipFill>
                  <pic:spPr>
                    <a:xfrm>
                      <a:off x="0" y="0"/>
                      <a:ext cx="2743200" cy="2743200"/>
                    </a:xfrm>
                    <a:prstGeom prst="rect"/>
                  </pic:spPr>
                </pic:pic>
              </a:graphicData>
            </a:graphic>
          </wp:inline>
        </w:drawing>
      </w:r>
    </w:p>
    <w:p/>
    <w:p/>
    <w:p>
      <w:pPr>
        <w:jc w:val="right"/>
      </w:pPr>
      <w:r>
        <w:rPr>
          <w:b/>
        </w:rPr>
        <w:br/>
        <w:t xml:space="preserve">Date of Submission: </w:t>
      </w:r>
      <w:r>
        <w:rPr>
          <w:sz w:val="24"/>
        </w:rPr>
        <w:t>01.08.2025</w:t>
      </w:r>
    </w:p>
    <w:p>
      <w:r>
        <w:br w:type="page"/>
      </w:r>
    </w:p>
    <w:p/>
    <w:p>
      <w:pPr>
        <w:pStyle w:val="Heading1"/>
      </w:pPr>
      <w:r>
        <w:rPr>
          <w:color w:val="88AB8E"/>
          <w:sz w:val="60"/>
        </w:rPr>
        <w:t>test</w:t>
      </w:r>
    </w:p>
    <w:p/>
    <w:tbl>
      <w:tblPr>
        <w:tblStyle w:val="TableGrid"/>
        <w:tblW w:type="auto" w:w="0"/>
        <w:tblLook w:firstColumn="1" w:firstRow="1" w:lastColumn="0" w:lastRow="0" w:noHBand="0" w:noVBand="1" w:val="04A0"/>
        <w:tblBorders>
          <w:top w:val="nil"/>
          <w:left w:val="nil"/>
          <w:bottom w:val="nil"/>
          <w:right w:val="nil"/>
          <w:insideH w:val="nil"/>
          <w:insideV w:val="nil"/>
        </w:tblBorders>
      </w:tblPr>
      <w:tblGrid>
        <w:gridCol w:w="4320"/>
        <w:gridCol w:w="4320"/>
      </w:tblGrid>
      <w:tr>
        <w:tc>
          <w:tcPr>
            <w:tcW w:type="dxa" w:w="2880"/>
          </w:tcPr>
          <w:p>
            <w:pPr>
              <w:jc w:val="left"/>
            </w:pPr>
            <w:r>
              <w:rPr>
                <w:color w:val="0000FF"/>
                <w:sz w:val="36"/>
              </w:rPr>
              <w:t>Author</w:t>
              <w:br/>
            </w:r>
          </w:p>
        </w:tc>
        <w:tc>
          <w:tcPr>
            <w:tcW w:type="dxa" w:w="4320"/>
          </w:tcPr>
          <w:p>
            <w:pPr>
              <w:jc w:val="left"/>
            </w:pPr>
            <w:r>
              <w:rPr>
                <w:sz w:val="36"/>
              </w:rPr>
              <w:t>sdsddsd</w:t>
            </w:r>
          </w:p>
        </w:tc>
      </w:tr>
      <w:tr>
        <w:tc>
          <w:tcPr>
            <w:tcW w:type="dxa" w:w="2880"/>
          </w:tcPr>
          <w:p>
            <w:pPr>
              <w:jc w:val="left"/>
            </w:pPr>
            <w:r>
              <w:rPr>
                <w:color w:val="0000FF"/>
                <w:sz w:val="36"/>
              </w:rPr>
              <w:t>Client</w:t>
              <w:br/>
            </w:r>
          </w:p>
        </w:tc>
        <w:tc>
          <w:tcPr>
            <w:tcW w:type="dxa" w:w="4320"/>
          </w:tcPr>
          <w:p>
            <w:pPr>
              <w:jc w:val="left"/>
            </w:pPr>
            <w:r>
              <w:rPr>
                <w:sz w:val="36"/>
              </w:rPr>
              <w:t>sds</w:t>
            </w:r>
          </w:p>
        </w:tc>
      </w:tr>
      <w:tr>
        <w:tc>
          <w:tcPr>
            <w:tcW w:type="dxa" w:w="2880"/>
          </w:tcPr>
          <w:p>
            <w:pPr>
              <w:jc w:val="left"/>
            </w:pPr>
            <w:r>
              <w:rPr>
                <w:color w:val="0000FF"/>
                <w:sz w:val="36"/>
              </w:rPr>
              <w:t>Supplier</w:t>
              <w:br/>
            </w:r>
          </w:p>
        </w:tc>
        <w:tc>
          <w:tcPr>
            <w:tcW w:type="dxa" w:w="4320"/>
          </w:tcPr>
          <w:p>
            <w:pPr>
              <w:jc w:val="left"/>
            </w:pPr>
            <w:r>
              <w:rPr>
                <w:sz w:val="36"/>
              </w:rPr>
              <w:t>dsd</w:t>
            </w:r>
          </w:p>
        </w:tc>
      </w:tr>
      <w:tr>
        <w:tc>
          <w:tcPr>
            <w:tcW w:type="dxa" w:w="2880"/>
          </w:tcPr>
          <w:p>
            <w:pPr>
              <w:jc w:val="left"/>
            </w:pPr>
            <w:r>
              <w:rPr>
                <w:color w:val="0000FF"/>
                <w:sz w:val="36"/>
              </w:rPr>
              <w:t>Methodology</w:t>
              <w:br/>
            </w:r>
          </w:p>
        </w:tc>
        <w:tc>
          <w:tcPr>
            <w:tcW w:type="dxa" w:w="4320"/>
          </w:tcPr>
          <w:p>
            <w:pPr>
              <w:jc w:val="left"/>
            </w:pPr>
            <w:r>
              <w:rPr>
                <w:sz w:val="36"/>
              </w:rPr>
              <w:t>Attack Potential</w:t>
            </w:r>
          </w:p>
        </w:tc>
      </w:tr>
    </w:tbl>
    <w:p>
      <w:r>
        <w:br w:type="page"/>
      </w:r>
    </w:p>
    <w:p>
      <w:pPr>
        <w:pStyle w:val="Heading1"/>
      </w:pPr>
      <w:r>
        <w:rPr>
          <w:color w:val="88AB8E"/>
          <w:sz w:val="60"/>
        </w:rPr>
        <w:t>Contents</w:t>
      </w:r>
    </w:p>
    <w:p>
      <w:pPr>
        <w:jc w:val="left"/>
      </w:pPr>
      <w:r>
        <w:t>1. Introduction</w:t>
      </w:r>
    </w:p>
    <w:p>
      <w:pPr>
        <w:jc w:val="left"/>
      </w:pPr>
      <w:r>
        <w:rPr>
          <w:b/>
        </w:rPr>
        <w:t>2. Target of Evaluation</w:t>
        <w:tab/>
      </w:r>
    </w:p>
    <w:p>
      <w:pPr>
        <w:jc w:val="left"/>
      </w:pPr>
      <w:r>
        <w:tab/>
        <w:t>2.1 System Description</w:t>
      </w:r>
    </w:p>
    <w:p>
      <w:pPr>
        <w:jc w:val="left"/>
      </w:pPr>
      <w:r>
        <w:tab/>
        <w:t>2.2 Scope</w:t>
      </w:r>
    </w:p>
    <w:p>
      <w:pPr>
        <w:jc w:val="left"/>
      </w:pPr>
      <w:r>
        <w:tab/>
        <w:t>2.3 Assumptions</w:t>
      </w:r>
    </w:p>
    <w:p>
      <w:pPr>
        <w:jc w:val="left"/>
      </w:pPr>
      <w:r>
        <w:tab/>
        <w:t>2.4 Misuse Cases</w:t>
      </w:r>
    </w:p>
    <w:p>
      <w:pPr>
        <w:jc w:val="left"/>
      </w:pPr>
      <w:r>
        <w:tab/>
        <w:t>2.5 TOE Configuration</w:t>
      </w:r>
    </w:p>
    <w:p>
      <w:pPr>
        <w:jc w:val="left"/>
      </w:pPr>
      <w:r>
        <w:rPr>
          <w:b/>
        </w:rPr>
        <w:t>3. Analysis</w:t>
        <w:tab/>
      </w:r>
    </w:p>
    <w:p>
      <w:pPr>
        <w:jc w:val="left"/>
      </w:pPr>
      <w:r>
        <w:tab/>
        <w:t>3.1 Assets</w:t>
      </w:r>
    </w:p>
    <w:p>
      <w:pPr>
        <w:jc w:val="left"/>
      </w:pPr>
      <w:r>
        <w:tab/>
        <w:t>3.2 Damage Scenarios</w:t>
      </w:r>
    </w:p>
    <w:p>
      <w:pPr>
        <w:jc w:val="left"/>
      </w:pPr>
      <w:r>
        <w:tab/>
        <w:t>3.3 Threats</w:t>
      </w:r>
    </w:p>
    <w:p>
      <w:pPr>
        <w:jc w:val="left"/>
      </w:pPr>
      <w:r>
        <w:tab/>
        <w:t>3.4 Threat Scenarios</w:t>
      </w:r>
    </w:p>
    <w:p>
      <w:pPr>
        <w:jc w:val="left"/>
      </w:pPr>
      <w:r>
        <w:rPr>
          <w:b/>
        </w:rPr>
        <w:t>4. Security Measurement</w:t>
        <w:tab/>
      </w:r>
    </w:p>
    <w:p>
      <w:pPr>
        <w:jc w:val="left"/>
      </w:pPr>
      <w:r>
        <w:tab/>
        <w:t>4.1 Security Claims</w:t>
      </w:r>
    </w:p>
    <w:p>
      <w:pPr>
        <w:jc w:val="left"/>
      </w:pPr>
      <w:r>
        <w:tab/>
        <w:t>4.2 Security Goals</w:t>
      </w:r>
    </w:p>
    <w:p>
      <w:pPr>
        <w:jc w:val="left"/>
      </w:pPr>
      <w:r>
        <w:tab/>
        <w:t>4.3 Security Controls</w:t>
      </w:r>
    </w:p>
    <w:p>
      <w:pPr>
        <w:jc w:val="left"/>
      </w:pPr>
      <w:r>
        <w:rPr>
          <w:b/>
        </w:rPr>
        <w:t>5. Attack Paths</w:t>
        <w:tab/>
      </w:r>
    </w:p>
    <w:p>
      <w:pPr>
        <w:jc w:val="left"/>
      </w:pPr>
      <w:r>
        <w:tab/>
        <w:t>5.1 Attack Tree</w:t>
      </w:r>
    </w:p>
    <w:p>
      <w:pPr>
        <w:jc w:val="left"/>
      </w:pPr>
      <w:r>
        <w:tab/>
        <w:t>5.2 Risk Control Tree</w:t>
      </w:r>
    </w:p>
    <w:p>
      <w:pPr>
        <w:jc w:val="left"/>
      </w:pPr>
      <w:r>
        <w:tab/>
        <w:t>5.3 Technical Attack Tree</w:t>
      </w:r>
    </w:p>
    <w:p>
      <w:pPr>
        <w:jc w:val="left"/>
      </w:pPr>
      <w:r>
        <w:tab/>
        <w:t>5.4 Attack Leaves</w:t>
      </w:r>
    </w:p>
    <w:p>
      <w:pPr>
        <w:jc w:val="left"/>
      </w:pPr>
      <w:r>
        <w:rPr>
          <w:b/>
        </w:rPr>
        <w:t>6. Risk Assessment</w:t>
        <w:tab/>
      </w:r>
    </w:p>
    <w:p>
      <w:pPr>
        <w:jc w:val="left"/>
      </w:pPr>
      <w:r>
        <w:tab/>
        <w:t>6.1 Risk Treatment</w:t>
      </w:r>
    </w:p>
    <w:p>
      <w:pPr>
        <w:jc w:val="left"/>
      </w:pPr>
      <w:r>
        <w:rPr>
          <w:b/>
        </w:rPr>
        <w:t>7. Management Summary</w:t>
        <w:tab/>
      </w:r>
    </w:p>
    <w:p>
      <w:pPr>
        <w:jc w:val="left"/>
      </w:pPr>
      <w:r>
        <w:tab/>
        <w:t>7.1 High Level Risks</w:t>
      </w:r>
    </w:p>
    <w:p>
      <w:pPr>
        <w:jc w:val="left"/>
      </w:pPr>
      <w:r>
        <w:tab/>
        <w:t>7.2 Security Controls</w:t>
      </w:r>
    </w:p>
    <w:p>
      <w:pPr>
        <w:jc w:val="left"/>
      </w:pPr>
      <w:r>
        <w:tab/>
        <w:t>7.3 TOE Configuration</w:t>
      </w:r>
    </w:p>
    <w:p>
      <w:pPr>
        <w:jc w:val="left"/>
      </w:pPr>
      <w:r>
        <w:tab/>
        <w:t>7.4 Assumptions</w:t>
      </w:r>
    </w:p>
    <w:p>
      <w:pPr>
        <w:jc w:val="left"/>
      </w:pPr>
      <w:r>
        <w:tab/>
        <w:t>7.5 Management Summary description</w:t>
      </w:r>
    </w:p>
    <w:p>
      <w:pPr>
        <w:jc w:val="left"/>
      </w:pPr>
      <w:r>
        <w:tab/>
        <w:t>7.6 Init. Risk Matrix</w:t>
      </w:r>
    </w:p>
    <w:p>
      <w:pPr>
        <w:jc w:val="left"/>
      </w:pPr>
      <w:r>
        <w:tab/>
        <w:t>7.7 Resid. Risk Matrix</w:t>
      </w:r>
    </w:p>
    <w:p>
      <w:r>
        <w:br w:type="page"/>
      </w:r>
    </w:p>
    <w:p>
      <w:pPr>
        <w:pStyle w:val="Heading1"/>
      </w:pPr>
      <w:r>
        <w:rPr>
          <w:color w:val="88AB8E"/>
          <w:sz w:val="60"/>
        </w:rPr>
        <w:t>1.Introduction</w:t>
      </w:r>
    </w:p>
    <w:p/>
    <w:p/>
    <w:p>
      <w:pPr>
        <w:jc w:val="both"/>
      </w:pPr>
      <w:r>
        <w:t>Threat Analysis and Risk Assessment is a vital tool in Cybersecurity that helps organizations identify, assess, and prioritize potential threats and risks. By systematically evaluating the security landscape, TARA provides insights into vulnerabilities and threats, enabling organizations to implement effective measures to mitigate risks. The TARA process involves identifying assets, determining threats, assessing vulnerabilities, and evaluating the potential impact of these threats. This comprehensive approach ensures that security strategies are well-informed and aligned with the organization's overall risk management goals.</w:t>
      </w:r>
    </w:p>
    <w:p>
      <w:r>
        <w:br w:type="page"/>
      </w:r>
    </w:p>
    <w:p>
      <w:pPr>
        <w:pStyle w:val="Heading1"/>
      </w:pPr>
      <w:r>
        <w:rPr>
          <w:color w:val="88AB8E"/>
          <w:sz w:val="60"/>
        </w:rPr>
        <w:t xml:space="preserve"> 2. Target of Evaluation</w:t>
      </w:r>
    </w:p>
    <w:p>
      <w:pPr>
        <w:pStyle w:val="Heading2"/>
        <w:jc w:val="left"/>
      </w:pPr>
      <w:r>
        <w:rPr>
          <w:b/>
          <w:color w:val="88AB8E"/>
          <w:sz w:val="60"/>
        </w:rPr>
        <w:t>2.1 System Description</w:t>
      </w:r>
    </w:p>
    <w:p>
      <w:r>
        <w:br/>
        <w:br/>
      </w:r>
    </w:p>
    <w:p>
      <w:r>
        <w:t>&lt;</w:t>
      </w:r>
    </w:p>
    <w:sectPr w:rsidR="00FC693F" w:rsidRPr="0006063C" w:rsidSect="00034616">
      <w:headerReference w:type="default" r:id="rId10"/>
      <w:footerReference w:type="default" r:id="rId11"/>
      <w:pgSz w:w="12240" w:h="15840"/>
      <w:pgMar w:top="0" w:right="1800" w:bottom="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left"/>
    </w:pPr>
    <w:r>
      <w:drawing>
        <wp:inline xmlns:a="http://schemas.openxmlformats.org/drawingml/2006/main" xmlns:pic="http://schemas.openxmlformats.org/drawingml/2006/picture">
          <wp:extent cx="274320" cy="274320"/>
          <wp:docPr id="1" name="Picture 1"/>
          <wp:cNvGraphicFramePr>
            <a:graphicFrameLocks noChangeAspect="1"/>
          </wp:cNvGraphicFramePr>
          <a:graphic>
            <a:graphicData uri="http://schemas.openxmlformats.org/drawingml/2006/picture">
              <pic:pic>
                <pic:nvPicPr>
                  <pic:cNvPr id="0" name="placeholder footer.png"/>
                  <pic:cNvPicPr/>
                </pic:nvPicPr>
                <pic:blipFill>
                  <a:blip r:embed="rId1"/>
                  <a:stretch>
                    <a:fillRect/>
                  </a:stretch>
                </pic:blipFill>
                <pic:spPr>
                  <a:xfrm>
                    <a:off x="0" y="0"/>
                    <a:ext cx="274320" cy="274320"/>
                  </a:xfrm>
                  <a:prstGeom prst="rect"/>
                </pic:spPr>
              </pic:pic>
            </a:graphicData>
          </a:graphic>
        </wp:inline>
      </w:drawing>
      <w:t xml:space="preserve"> © Copyright 2025-26 | Your Organisation name | All Rights Reserved</w:t>
    </w:r>
  </w:p>
  <w:p>
    <w:pPr>
      <w:jc w:val="right"/>
    </w:pPr>
    <w:r>
      <w:rPr>
        <w:b/>
        <w:sz w:val="20"/>
      </w:rPr>
      <w:t xml:space="preserve">Page No: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p>
    <w:pPr>
      <w:tabs>
        <w:tab w:pos="9072" w:val="right"/>
      </w:tabs>
    </w:pPr>
    <w:r>
      <w:rPr>
        <w:b/>
        <w:sz w:val="16"/>
      </w:rPr>
      <w:t>CYPHERA REPORT</w:t>
    </w:r>
    <w:r>
      <w:tab/>
    </w: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placeholder footer.png"/>
                  <pic:cNvPicPr/>
                </pic:nvPicPr>
                <pic:blipFill>
                  <a:blip r:embed="rId1"/>
                  <a:stretch>
                    <a:fillRect/>
                  </a:stretch>
                </pic:blipFill>
                <pic:spPr>
                  <a:xfrm>
                    <a:off x="0" y="0"/>
                    <a:ext cx="914400" cy="9144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