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1430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BALLAST WATER MANAGEMENT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ship is provided with a Ballast Water Management Plan in accordance with the International Convention for the Control and Management of Ships' Ballast Water and Sediments.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Ballast water capacity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Principal ballast water management method</w:t>
            </w:r>
          </w:p>
        </w:tc>
      </w:tr>
      <w:tr>
        <w:tc>
          <w:sdt>
            <w:sdtPr>
              <w:tag w:val="ballast_water_capacity"/>
            </w:sdtPr>
            <w:sdtContent>
              <w:p>
                <w:pPr>
                  <w:jc w:val="center"/>
                </w:pPr>
                <w:r>
                  <w:t>{ballast_water_capacity}</w:t>
                </w:r>
              </w:p>
            </w:sdtContent>
          </w:sdt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D-2 (Treatment)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BWMC-ST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2026-06-13T09:58:46.349Z</dcterms:created>
  <dcterms:modified xsi:type="dcterms:W3CDTF">2026-06-13T09:58:46.349Z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