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BALLAST WATER MANAGEMENT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ship is provided with a Ballast Water Management Plan in accordance with the International Convention for the Control and Management of Ships' Ballast Water and Sediments.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Ballast water capacity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Principal ballast water management method</w:t>
            </w:r>
          </w:p>
        </w:tc>
      </w:tr>
      <w:tr>
        <w:tc>
          <w:sdt>
            <w:sdtPr>
              <w:tag w:val="ballast_water_capacity"/>
            </w:sdtPr>
            <w:sdtContent>
              <w:p>
                <w:pPr>
                  <w:jc w:val="center"/>
                </w:pPr>
                <w:r>
                  <w:t>{ballast_water_capacity}</w:t>
                </w:r>
              </w:p>
            </w:sdtContent>
          </w:sdt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D-2 (Treatment)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BWMC-ST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2026-06-13T06:36:35.078Z</dcterms:created>
  <dcterms:modified xsi:type="dcterms:W3CDTF">2026-06-13T06:36:35.078Z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