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Customer Complaint Policy</w:t>
      </w:r>
    </w:p>
    <w:p>
      <w:r>
        <w:t>Document ID: CMP-POL-01</w:t>
      </w:r>
    </w:p>
    <w:p>
      <w:r>
        <w:t>Title: Customer Complaint Policy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policy</w:t>
      </w:r>
    </w:p>
    <w:p>
      <w:r>
        <w:t>Owner department: Customer Relations</w:t>
      </w:r>
    </w:p>
    <w:p>
      <w:pPr>
        <w:pStyle w:val="Heading1"/>
      </w:pPr>
      <w:r>
        <w:t>1. Commitments</w:t>
      </w:r>
    </w:p>
    <w:p>
      <w:r>
        <w:t>Every complaint receives an acknowledgement, a reference number and a named next step.</w:t>
      </w:r>
    </w:p>
    <w:p>
      <w:r>
        <w:t>Agents must not promise outcomes before verification. Customers may escalate after two unresolved contacts; repeat unresolved complaints are reviewed by a supervisor with a named owner.</w:t>
      </w:r>
    </w:p>
    <w:p>
      <w:pPr>
        <w:pStyle w:val="Heading1"/>
      </w:pPr>
      <w:r>
        <w:t>2. Compensation</w:t>
      </w:r>
    </w:p>
    <w:p>
      <w:r>
        <w:t>Compensation is discretionary, requires supervisor approval and is never promised in the first reply.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