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Refund Policy (draft)</w:t>
      </w:r>
    </w:p>
    <w:p>
      <w:r>
        <w:t>Document ID: REF-POL-01</w:t>
      </w:r>
    </w:p>
    <w:p>
      <w:r>
        <w:t>Title: Refund Policy (draft)</w:t>
      </w:r>
    </w:p>
    <w:p>
      <w:r>
        <w:t>Version: 2.0</w:t>
      </w:r>
    </w:p>
    <w:p>
      <w:r>
        <w:t>Status: DRAFT</w:t>
      </w:r>
    </w:p>
    <w:p>
      <w:r>
        <w:t>Effective date: 2026-11-01</w:t>
      </w:r>
    </w:p>
    <w:p>
      <w:r>
        <w:t>Expiry date: 2028-10-31</w:t>
      </w:r>
    </w:p>
    <w:p>
      <w:r>
        <w:t>Category: policy</w:t>
      </w:r>
    </w:p>
    <w:p>
      <w:r>
        <w:t>Owner department: Returns</w:t>
      </w:r>
    </w:p>
    <w:p>
      <w:pPr>
        <w:pStyle w:val="Heading1"/>
      </w:pPr>
      <w:r>
        <w:t>Draft notice</w:t>
      </w:r>
    </w:p>
    <w:p>
      <w:r>
        <w:t>DRAFT - NOT IN FORCE. Under review by Returns and Compliance. Do not cite to customers.</w:t>
      </w:r>
    </w:p>
    <w:p>
      <w:pPr>
        <w:pStyle w:val="Heading1"/>
      </w:pPr>
      <w:r>
        <w:t>4. Timelines</w:t>
      </w:r>
    </w:p>
    <w:p>
      <w:pPr>
        <w:pStyle w:val="Heading2"/>
      </w:pPr>
      <w:r>
        <w:t>4.1 Refund timeline</w:t>
      </w:r>
    </w:p>
    <w:p>
      <w:r>
        <w:t>Draft: refunds could be issued as store credit within 3 days.</w:t>
      </w:r>
    </w:p>
    <w:p>
      <w:r>
        <w:t>Card refunds would remain 7-10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