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Replacement Policy</w:t>
      </w:r>
    </w:p>
    <w:p>
      <w:r>
        <w:t>Document ID: RPL-POL-01</w:t>
      </w:r>
    </w:p>
    <w:p>
      <w:r>
        <w:t>Title: Replacement Policy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policy</w:t>
      </w:r>
    </w:p>
    <w:p>
      <w:r>
        <w:t>Owner department: Warranty</w:t>
      </w:r>
    </w:p>
    <w:p>
      <w:pPr>
        <w:pStyle w:val="Heading1"/>
      </w:pPr>
      <w:r>
        <w:t>1. Eligibility</w:t>
      </w:r>
    </w:p>
    <w:p>
      <w:r>
        <w:t>Replacements are offered only for verified defects within 30 days of delivery, when the product is returned in original condition.</w:t>
      </w:r>
    </w:p>
    <w:p>
      <w:pPr>
        <w:pStyle w:val="Heading1"/>
      </w:pPr>
      <w:r>
        <w:t>2. Repeat replacements</w:t>
      </w:r>
    </w:p>
    <w:p>
      <w:r>
        <w:t>No replacement is issued if one was already issued for the same order. A second replacement for the same order needs supervisor approval.</w:t>
      </w:r>
    </w:p>
    <w:p>
      <w:pPr>
        <w:pStyle w:val="Heading1"/>
      </w:pPr>
      <w:r>
        <w:t>3. Stock</w:t>
      </w:r>
    </w:p>
    <w:p>
      <w:r>
        <w:t>If the same model is out of stock, offer the nearest equivalent or a refund under REF-POL-01.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