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Candidate screen report — confirmatory sample for the RPT fraud-risk study</w:t>
      </w:r>
    </w:p>
    <w:p>
      <w:pPr>
        <w:jc w:val="left"/>
      </w:pPr>
      <w:r>
        <w:t xml:space="preserve">Date: 8 October 2026. Inputs: </w:t>
      </w:r>
      <w:r>
        <w:rPr>
          <w:rFonts w:ascii="Consolas" w:hAnsi="Consolas"/>
          <w:sz w:val="18"/>
        </w:rPr>
        <w:t>SEC-EDGAR-Downloader/scripts/phase_a_screen_v2.csv</w:t>
      </w:r>
      <w:r>
        <w:t xml:space="preserve"> (51 screened candidates), </w:t>
      </w:r>
      <w:r>
        <w:rPr>
          <w:rFonts w:ascii="Consolas" w:hAnsi="Consolas"/>
          <w:sz w:val="18"/>
        </w:rPr>
        <w:t>scripts/candidates_v02.csv</w:t>
      </w:r>
      <w:r>
        <w:t xml:space="preserve"> (58 raw candidates), </w:t>
      </w:r>
      <w:r>
        <w:rPr>
          <w:rFonts w:ascii="Consolas" w:hAnsi="Consolas"/>
          <w:sz w:val="18"/>
        </w:rPr>
        <w:t>cases_core.csv</w:t>
      </w:r>
      <w:r>
        <w:t xml:space="preserve"> (final sample), the peer-matching files </w:t>
      </w:r>
      <w:r>
        <w:rPr>
          <w:rFonts w:ascii="Consolas" w:hAnsi="Consolas"/>
          <w:sz w:val="18"/>
        </w:rPr>
        <w:t>scripts/peers_matched_*.csv</w:t>
      </w:r>
      <w:r>
        <w:t xml:space="preserve">. Rules: decisions D1–D4 and D10 of </w:t>
      </w:r>
      <w:r>
        <w:rPr>
          <w:rFonts w:ascii="Consolas" w:hAnsi="Consolas"/>
          <w:sz w:val="18"/>
        </w:rPr>
        <w:t>docs/PROJECT_CLOSURE_PLAN.md</w:t>
      </w:r>
      <w:r>
        <w:t>, which implement the client's research design of 6 October 2026.</w:t>
      </w:r>
    </w:p>
    <w:p>
      <w:pPr>
        <w:pStyle w:val="Heading2"/>
      </w:pPr>
      <w:r>
        <w:t>1. What the screen had to decide</w:t>
      </w:r>
    </w:p>
    <w:p>
      <w:pPr>
        <w:jc w:val="left"/>
      </w:pPr>
      <w:r>
        <w:t>The research design needs case firms whose SEC enforcement action involved related-party transactions (RPTs), observed for the five fiscal years before the misconduct became public, each matched to industry-and-size peers that were never subject to an enforcement action. Four rules were applied to every candidate, in this order:</w:t>
      </w:r>
    </w:p>
    <w:p>
      <w:pPr>
        <w:pStyle w:val="ListNumber"/>
      </w:pPr>
      <w:r>
        <w:rPr>
          <w:b/>
        </w:rPr>
        <w:t>D1 inclusion.</w:t>
      </w:r>
      <w:r>
        <w:t xml:space="preserve"> The SEC order or complaint must describe an accounting misstatement or a misappropriation in which an RPT is the mechanism (class </w:t>
      </w:r>
      <w:r>
        <w:rPr>
          <w:rFonts w:ascii="Consolas" w:hAnsi="Consolas"/>
          <w:sz w:val="18"/>
        </w:rPr>
        <w:t>misstatement</w:t>
      </w:r>
      <w:r>
        <w:t xml:space="preserve">, </w:t>
      </w:r>
      <w:r>
        <w:rPr>
          <w:rFonts w:ascii="Consolas" w:hAnsi="Consolas"/>
          <w:sz w:val="18"/>
        </w:rPr>
        <w:t>misappropriation</w:t>
      </w:r>
      <w:r>
        <w:t>, or a combination). Cases where the only charge is a missing or incomplete RPT disclosure are a separate stratum (</w:t>
      </w:r>
      <w:r>
        <w:rPr>
          <w:rFonts w:ascii="Consolas" w:hAnsi="Consolas"/>
          <w:sz w:val="18"/>
        </w:rPr>
        <w:t>disclosure_only</w:t>
      </w:r>
      <w:r>
        <w:t>). Cases with no RPT element or with an internal-controls-only order are excluded.</w:t>
      </w:r>
    </w:p>
    <w:p>
      <w:pPr>
        <w:pStyle w:val="ListNumber"/>
      </w:pPr>
      <w:r>
        <w:rPr>
          <w:b/>
        </w:rPr>
        <w:t>D2 revelation date.</w:t>
      </w:r>
      <w:r>
        <w:t xml:space="preserve"> The first public event that revealed the problem: an 8-K Item 4.02 non-reliance notice, an auditor resignation, an audit-committee investigation, a short-seller report, a restatement, or, when nothing earlier exists, the SEC action itself. Every date carries a confidence level (high = dated SEC filing or order; medium = documented public event still to be linked to a source document; low = SEC action date used as a placeholder).</w:t>
      </w:r>
    </w:p>
    <w:p>
      <w:pPr>
        <w:pStyle w:val="ListNumber"/>
      </w:pPr>
      <w:r>
        <w:rPr>
          <w:b/>
        </w:rPr>
        <w:t>D3 window and four-report rule.</w:t>
      </w:r>
      <w:r>
        <w:t xml:space="preserve"> The assessment window is the five fiscal years before the revelation year. A case must have at least four annual reports (10-K, 10-K405, 10-KSB, 10-KT) in that window, and the window must start in 2005 or later so that Item 9A (SOX 404) exists and Layer 2 is observable.</w:t>
      </w:r>
    </w:p>
    <w:p>
      <w:pPr>
        <w:pStyle w:val="ListNumber"/>
      </w:pPr>
      <w:r>
        <w:rPr>
          <w:b/>
        </w:rPr>
        <w:t>D4 peer matching.</w:t>
      </w:r>
      <w:r>
        <w:t xml:space="preserve"> Five peers per case from the EDGAR universe of the case's industry (same 4-digit SIC, falling back to 3- and 2-digit), nearest in log total assets in the fiscal year before revelation, with a 10-K in every window year and no AAER match.</w:t>
      </w:r>
    </w:p>
    <w:p>
      <w:pPr>
        <w:pStyle w:val="Heading2"/>
      </w:pPr>
      <w:r>
        <w:t>2. Where the candidates came from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Source</w:t>
            </w:r>
          </w:p>
        </w:tc>
        <w:tc>
          <w:tcPr>
            <w:tcW w:type="dxa" w:w="2880"/>
          </w:tcPr>
          <w:p>
            <w:r>
              <w:rPr>
                <w:b/>
                <w:sz w:val="17"/>
              </w:rPr>
            </w:r>
            <w:r>
              <w:rPr>
                <w:b/>
                <w:sz w:val="17"/>
              </w:rPr>
              <w:t>Candidates</w:t>
            </w:r>
          </w:p>
        </w:tc>
        <w:tc>
          <w:tcPr>
            <w:tcW w:type="dxa" w:w="2880"/>
          </w:tcPr>
          <w:p>
            <w:r>
              <w:rPr>
                <w:b/>
                <w:sz w:val="17"/>
              </w:rPr>
            </w:r>
            <w:r>
              <w:rPr>
                <w:b/>
                <w:sz w:val="17"/>
              </w:rPr>
              <w:t>What it contributed</w:t>
            </w:r>
          </w:p>
        </w:tc>
      </w:tr>
      <w:tr>
        <w:tc>
          <w:tcPr>
            <w:tcW w:type="dxa" w:w="2880"/>
          </w:tcPr>
          <w:p>
            <w:r>
              <w:rPr>
                <w:sz w:val="17"/>
              </w:rPr>
            </w:r>
            <w:r>
              <w:rPr>
                <w:sz w:val="17"/>
              </w:rPr>
              <w:t>Client workbook of 2 October 2026</w:t>
            </w:r>
          </w:p>
        </w:tc>
        <w:tc>
          <w:tcPr>
            <w:tcW w:type="dxa" w:w="2880"/>
          </w:tcPr>
          <w:p>
            <w:r>
              <w:rPr>
                <w:sz w:val="17"/>
              </w:rPr>
            </w:r>
            <w:r>
              <w:rPr>
                <w:sz w:val="17"/>
              </w:rPr>
              <w:t>39</w:t>
            </w:r>
          </w:p>
        </w:tc>
        <w:tc>
          <w:tcPr>
            <w:tcW w:type="dxa" w:w="2880"/>
          </w:tcPr>
          <w:p>
            <w:r>
              <w:rPr>
                <w:sz w:val="17"/>
              </w:rPr>
            </w:r>
            <w:r>
              <w:rPr>
                <w:sz w:val="17"/>
              </w:rPr>
              <w:t>the starting list, including the five pilot anchors</w:t>
            </w:r>
          </w:p>
        </w:tc>
      </w:tr>
      <w:tr>
        <w:tc>
          <w:tcPr>
            <w:tcW w:type="dxa" w:w="2880"/>
          </w:tcPr>
          <w:p>
            <w:r>
              <w:rPr>
                <w:sz w:val="17"/>
              </w:rPr>
            </w:r>
            <w:r>
              <w:rPr>
                <w:sz w:val="17"/>
              </w:rPr>
              <w:t>Every SEC AAER release 2005–2024 (2,383 documents, full text)</w:t>
            </w:r>
          </w:p>
        </w:tc>
        <w:tc>
          <w:tcPr>
            <w:tcW w:type="dxa" w:w="2880"/>
          </w:tcPr>
          <w:p>
            <w:r>
              <w:rPr>
                <w:sz w:val="17"/>
              </w:rPr>
            </w:r>
            <w:r>
              <w:rPr>
                <w:sz w:val="17"/>
              </w:rPr>
              <w:t>14 new</w:t>
            </w:r>
          </w:p>
        </w:tc>
        <w:tc>
          <w:tcPr>
            <w:tcW w:type="dxa" w:w="2880"/>
          </w:tcPr>
          <w:p>
            <w:r>
              <w:rPr>
                <w:sz w:val="17"/>
              </w:rPr>
            </w:r>
            <w:r>
              <w:rPr>
                <w:sz w:val="17"/>
              </w:rPr>
              <w:t>mostly pre-2005 windows (extended tier) and the D1 confirmations</w:t>
            </w:r>
          </w:p>
        </w:tc>
      </w:tr>
      <w:tr>
        <w:tc>
          <w:tcPr>
            <w:tcW w:type="dxa" w:w="2880"/>
          </w:tcPr>
          <w:p>
            <w:r>
              <w:rPr>
                <w:sz w:val="17"/>
              </w:rPr>
            </w:r>
            <w:r>
              <w:rPr>
                <w:sz w:val="17"/>
              </w:rPr>
              <w:t>Every SEC litigation release 2010–2025 (5,086 documents, full text)</w:t>
            </w:r>
          </w:p>
        </w:tc>
        <w:tc>
          <w:tcPr>
            <w:tcW w:type="dxa" w:w="2880"/>
          </w:tcPr>
          <w:p>
            <w:r>
              <w:rPr>
                <w:sz w:val="17"/>
              </w:rPr>
            </w:r>
            <w:r>
              <w:rPr>
                <w:sz w:val="17"/>
              </w:rPr>
              <w:t>2 new</w:t>
            </w:r>
          </w:p>
        </w:tc>
        <w:tc>
          <w:tcPr>
            <w:tcW w:type="dxa" w:w="2880"/>
          </w:tcPr>
          <w:p>
            <w:r>
              <w:rPr>
                <w:sz w:val="17"/>
              </w:rPr>
            </w:r>
            <w:r>
              <w:rPr>
                <w:sz w:val="17"/>
              </w:rPr>
              <w:t>American Equity (disclosure stratum), Premier Holding (core)</w:t>
            </w:r>
          </w:p>
        </w:tc>
      </w:tr>
      <w:tr>
        <w:tc>
          <w:tcPr>
            <w:tcW w:type="dxa" w:w="2880"/>
          </w:tcPr>
          <w:p>
            <w:r>
              <w:rPr>
                <w:sz w:val="17"/>
              </w:rPr>
            </w:r>
            <w:r>
              <w:rPr>
                <w:sz w:val="17"/>
              </w:rPr>
              <w:t>Issuers' own filings via EDGAR full-text search (1,354 issuers, 89 on ≥ 2 query families)</w:t>
            </w:r>
          </w:p>
        </w:tc>
        <w:tc>
          <w:tcPr>
            <w:tcW w:type="dxa" w:w="2880"/>
          </w:tcPr>
          <w:p>
            <w:r>
              <w:rPr>
                <w:sz w:val="17"/>
              </w:rPr>
            </w:r>
            <w:r>
              <w:rPr>
                <w:sz w:val="17"/>
              </w:rPr>
              <w:t>0 new</w:t>
            </w:r>
          </w:p>
        </w:tc>
        <w:tc>
          <w:tcPr>
            <w:tcW w:type="dxa" w:w="2880"/>
          </w:tcPr>
          <w:p>
            <w:r>
              <w:rPr>
                <w:sz w:val="17"/>
              </w:rPr>
            </w:r>
            <w:r>
              <w:rPr>
                <w:sz w:val="17"/>
              </w:rPr>
              <w:t>all hits were boilerplate co-occurrences of "related party" and "SEC"</w:t>
            </w:r>
          </w:p>
        </w:tc>
      </w:tr>
    </w:tbl>
    <w:p/>
    <w:p>
      <w:pPr>
        <w:jc w:val="left"/>
      </w:pPr>
      <w:r>
        <w:t>Fifty-eight candidates were recorded; 51 reached the screen (seven were duplicates, foreign private issuers without 10-Ks, or had no identifiable issuer).</w:t>
      </w:r>
    </w:p>
    <w:p>
      <w:pPr>
        <w:pStyle w:val="Heading2"/>
      </w:pPr>
      <w:r>
        <w:t>3. Screen outcome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Status</w:t>
            </w:r>
          </w:p>
        </w:tc>
        <w:tc>
          <w:tcPr>
            <w:tcW w:type="dxa" w:w="2880"/>
          </w:tcPr>
          <w:p>
            <w:r>
              <w:rPr>
                <w:b/>
                <w:sz w:val="17"/>
              </w:rPr>
            </w:r>
            <w:r>
              <w:rPr>
                <w:b/>
                <w:sz w:val="17"/>
              </w:rPr>
              <w:t>n</w:t>
            </w:r>
          </w:p>
        </w:tc>
        <w:tc>
          <w:tcPr>
            <w:tcW w:type="dxa" w:w="2880"/>
          </w:tcPr>
          <w:p>
            <w:r>
              <w:rPr>
                <w:b/>
                <w:sz w:val="17"/>
              </w:rPr>
            </w:r>
            <w:r>
              <w:rPr>
                <w:b/>
                <w:sz w:val="17"/>
              </w:rPr>
              <w:t>Firms</w:t>
            </w:r>
          </w:p>
        </w:tc>
      </w:tr>
      <w:tr>
        <w:tc>
          <w:tcPr>
            <w:tcW w:type="dxa" w:w="2880"/>
          </w:tcPr>
          <w:p>
            <w:r>
              <w:rPr>
                <w:sz w:val="17"/>
              </w:rPr>
            </w:r>
            <w:r>
              <w:rPr>
                <w:b/>
                <w:sz w:val="17"/>
              </w:rPr>
              <w:t>INCLUDE (core)</w:t>
            </w:r>
          </w:p>
        </w:tc>
        <w:tc>
          <w:tcPr>
            <w:tcW w:type="dxa" w:w="2880"/>
          </w:tcPr>
          <w:p>
            <w:r>
              <w:rPr>
                <w:sz w:val="17"/>
              </w:rPr>
            </w:r>
            <w:r>
              <w:rPr>
                <w:b/>
                <w:sz w:val="17"/>
              </w:rPr>
              <w:t>21</w:t>
            </w:r>
          </w:p>
        </w:tc>
        <w:tc>
          <w:tcPr>
            <w:tcW w:type="dxa" w:w="2880"/>
          </w:tcPr>
          <w:p>
            <w:r>
              <w:rPr>
                <w:sz w:val="17"/>
              </w:rPr>
            </w:r>
            <w:r>
              <w:rPr>
                <w:sz w:val="17"/>
              </w:rPr>
              <w:t>Ault Alliance, Co-Diagnostics, Eagle Bancorp, Ocwen, Valeant, Manitex, Singularity Future Technology, Puda Coal, General Employment, SAExploration, Ideanomics, UDF IV, FAT Brands, Ammo/Outdoor Holding, MusclePharm, China Valves, Cemtrex, Quadrant 4, Provectus, Corporate Resource Services, Premier Holding</w:t>
            </w:r>
          </w:p>
        </w:tc>
      </w:tr>
      <w:tr>
        <w:tc>
          <w:tcPr>
            <w:tcW w:type="dxa" w:w="2880"/>
          </w:tcPr>
          <w:p>
            <w:r>
              <w:rPr>
                <w:sz w:val="17"/>
              </w:rPr>
            </w:r>
            <w:r>
              <w:rPr>
                <w:b/>
                <w:sz w:val="17"/>
              </w:rPr>
              <w:t>STRATUM_DISCLOSURE_ONLY</w:t>
            </w:r>
          </w:p>
        </w:tc>
        <w:tc>
          <w:tcPr>
            <w:tcW w:type="dxa" w:w="2880"/>
          </w:tcPr>
          <w:p>
            <w:r>
              <w:rPr>
                <w:sz w:val="17"/>
              </w:rPr>
            </w:r>
            <w:r>
              <w:rPr>
                <w:b/>
                <w:sz w:val="17"/>
              </w:rPr>
              <w:t>9</w:t>
            </w:r>
          </w:p>
        </w:tc>
        <w:tc>
          <w:tcPr>
            <w:tcW w:type="dxa" w:w="2880"/>
          </w:tcPr>
          <w:p>
            <w:r>
              <w:rPr>
                <w:sz w:val="17"/>
              </w:rPr>
            </w:r>
            <w:r>
              <w:rPr>
                <w:sz w:val="17"/>
              </w:rPr>
              <w:t>Skechers, American Electric Power, RCI Hospitality, Greenbrier, Energy XXI, Maximus, Shift4, First Bancorp (NC), American Equity</w:t>
            </w:r>
          </w:p>
        </w:tc>
      </w:tr>
      <w:tr>
        <w:tc>
          <w:tcPr>
            <w:tcW w:type="dxa" w:w="2880"/>
          </w:tcPr>
          <w:p>
            <w:r>
              <w:rPr>
                <w:sz w:val="17"/>
              </w:rPr>
            </w:r>
            <w:r>
              <w:rPr>
                <w:sz w:val="17"/>
              </w:rPr>
              <w:t>FAIL_4_REPORTS (sensitivity set)</w:t>
            </w:r>
          </w:p>
        </w:tc>
        <w:tc>
          <w:tcPr>
            <w:tcW w:type="dxa" w:w="2880"/>
          </w:tcPr>
          <w:p>
            <w:r>
              <w:rPr>
                <w:sz w:val="17"/>
              </w:rPr>
            </w:r>
            <w:r>
              <w:rPr>
                <w:sz w:val="17"/>
              </w:rPr>
              <w:t>17</w:t>
            </w:r>
          </w:p>
        </w:tc>
        <w:tc>
          <w:tcPr>
            <w:tcW w:type="dxa" w:w="2880"/>
          </w:tcPr>
          <w:p>
            <w:r>
              <w:rPr>
                <w:sz w:val="17"/>
              </w:rPr>
            </w:r>
            <w:r>
              <w:rPr>
                <w:sz w:val="17"/>
              </w:rPr>
              <w:t>ProPetro, China Natural Gas, Ener1, Apple REIT Nine, China North East Petroleum, HLSS, ARCP, RINO, iFresh, ChinaCast, BioElectronics, HF Foods, Longfin, TVI, Proteonomix, Electronic Game Card, China Ruitai</w:t>
            </w:r>
          </w:p>
        </w:tc>
      </w:tr>
      <w:tr>
        <w:tc>
          <w:tcPr>
            <w:tcW w:type="dxa" w:w="2880"/>
          </w:tcPr>
          <w:p>
            <w:r>
              <w:rPr>
                <w:sz w:val="17"/>
              </w:rPr>
            </w:r>
            <w:r>
              <w:rPr>
                <w:sz w:val="17"/>
              </w:rPr>
              <w:t>PRE_2005_WINDOW (extended tier)</w:t>
            </w:r>
          </w:p>
        </w:tc>
        <w:tc>
          <w:tcPr>
            <w:tcW w:type="dxa" w:w="2880"/>
          </w:tcPr>
          <w:p>
            <w:r>
              <w:rPr>
                <w:sz w:val="17"/>
              </w:rPr>
            </w:r>
            <w:r>
              <w:rPr>
                <w:sz w:val="17"/>
              </w:rPr>
              <w:t>1 (+12 from the AAER sweep)</w:t>
            </w:r>
          </w:p>
        </w:tc>
        <w:tc>
          <w:tcPr>
            <w:tcW w:type="dxa" w:w="2880"/>
          </w:tcPr>
          <w:p>
            <w:r>
              <w:rPr>
                <w:sz w:val="17"/>
              </w:rPr>
            </w:r>
            <w:r>
              <w:rPr>
                <w:sz w:val="17"/>
              </w:rPr>
              <w:t>infoUSA; Adelphia, Hollinger, Tyco, Enron, Refco, Buca, Natural Health Trends, Escala, Krispy Kreme, UTStarcom, Dyadic, Quest Resource</w:t>
            </w:r>
          </w:p>
        </w:tc>
      </w:tr>
      <w:tr>
        <w:tc>
          <w:tcPr>
            <w:tcW w:type="dxa" w:w="2880"/>
          </w:tcPr>
          <w:p>
            <w:r>
              <w:rPr>
                <w:sz w:val="17"/>
              </w:rPr>
            </w:r>
            <w:r>
              <w:rPr>
                <w:sz w:val="17"/>
              </w:rPr>
              <w:t>EXCLUDE_D1</w:t>
            </w:r>
          </w:p>
        </w:tc>
        <w:tc>
          <w:tcPr>
            <w:tcW w:type="dxa" w:w="2880"/>
          </w:tcPr>
          <w:p>
            <w:r>
              <w:rPr>
                <w:sz w:val="17"/>
              </w:rPr>
            </w:r>
            <w:r>
              <w:rPr>
                <w:sz w:val="17"/>
              </w:rPr>
              <w:t>2</w:t>
            </w:r>
          </w:p>
        </w:tc>
        <w:tc>
          <w:tcPr>
            <w:tcW w:type="dxa" w:w="2880"/>
          </w:tcPr>
          <w:p>
            <w:r>
              <w:rPr>
                <w:sz w:val="17"/>
              </w:rPr>
            </w:r>
            <w:r>
              <w:rPr>
                <w:sz w:val="17"/>
              </w:rPr>
              <w:t>Live Ventures (no RPT element), Northwest Biotherapeutics (controls-only order)</w:t>
            </w:r>
          </w:p>
        </w:tc>
      </w:tr>
      <w:tr>
        <w:tc>
          <w:tcPr>
            <w:tcW w:type="dxa" w:w="2880"/>
          </w:tcPr>
          <w:p>
            <w:r>
              <w:rPr>
                <w:sz w:val="17"/>
              </w:rPr>
            </w:r>
            <w:r>
              <w:rPr>
                <w:sz w:val="17"/>
              </w:rPr>
              <w:t>NEED_REVELATION_DATE</w:t>
            </w:r>
          </w:p>
        </w:tc>
        <w:tc>
          <w:tcPr>
            <w:tcW w:type="dxa" w:w="2880"/>
          </w:tcPr>
          <w:p>
            <w:r>
              <w:rPr>
                <w:sz w:val="17"/>
              </w:rPr>
            </w:r>
            <w:r>
              <w:rPr>
                <w:sz w:val="17"/>
              </w:rPr>
              <w:t>1</w:t>
            </w:r>
          </w:p>
        </w:tc>
        <w:tc>
          <w:tcPr>
            <w:tcW w:type="dxa" w:w="2880"/>
          </w:tcPr>
          <w:p>
            <w:r>
              <w:rPr>
                <w:sz w:val="17"/>
              </w:rPr>
            </w:r>
            <w:r>
              <w:rPr>
                <w:sz w:val="17"/>
              </w:rPr>
              <w:t>Gulfport Energy (disclosure-only; order date not yet established)</w:t>
            </w:r>
          </w:p>
        </w:tc>
      </w:tr>
    </w:tbl>
    <w:p/>
    <w:p>
      <w:pPr>
        <w:pStyle w:val="Heading3"/>
      </w:pPr>
      <w:r>
        <w:t>3.1 The 21 core cases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Case</w:t>
            </w:r>
          </w:p>
        </w:tc>
        <w:tc>
          <w:tcPr>
            <w:tcW w:type="dxa" w:w="1080"/>
          </w:tcPr>
          <w:p>
            <w:r>
              <w:rPr>
                <w:b/>
                <w:sz w:val="17"/>
              </w:rPr>
            </w:r>
            <w:r>
              <w:rPr>
                <w:b/>
                <w:sz w:val="17"/>
              </w:rPr>
              <w:t>SIC</w:t>
            </w:r>
          </w:p>
        </w:tc>
        <w:tc>
          <w:tcPr>
            <w:tcW w:type="dxa" w:w="1080"/>
          </w:tcPr>
          <w:p>
            <w:r>
              <w:rPr>
                <w:b/>
                <w:sz w:val="17"/>
              </w:rPr>
            </w:r>
            <w:r>
              <w:rPr>
                <w:b/>
                <w:sz w:val="17"/>
              </w:rPr>
              <w:t>D1 class</w:t>
            </w:r>
          </w:p>
        </w:tc>
        <w:tc>
          <w:tcPr>
            <w:tcW w:type="dxa" w:w="1080"/>
          </w:tcPr>
          <w:p>
            <w:r>
              <w:rPr>
                <w:b/>
                <w:sz w:val="17"/>
              </w:rPr>
            </w:r>
            <w:r>
              <w:rPr>
                <w:b/>
                <w:sz w:val="17"/>
              </w:rPr>
              <w:t>Revelation date</w:t>
            </w:r>
          </w:p>
        </w:tc>
        <w:tc>
          <w:tcPr>
            <w:tcW w:type="dxa" w:w="1080"/>
          </w:tcPr>
          <w:p>
            <w:r>
              <w:rPr>
                <w:b/>
                <w:sz w:val="17"/>
              </w:rPr>
            </w:r>
            <w:r>
              <w:rPr>
                <w:b/>
                <w:sz w:val="17"/>
              </w:rPr>
              <w:t>Confidence</w:t>
            </w:r>
          </w:p>
        </w:tc>
        <w:tc>
          <w:tcPr>
            <w:tcW w:type="dxa" w:w="1080"/>
          </w:tcPr>
          <w:p>
            <w:r>
              <w:rPr>
                <w:b/>
                <w:sz w:val="17"/>
              </w:rPr>
            </w:r>
            <w:r>
              <w:rPr>
                <w:b/>
                <w:sz w:val="17"/>
              </w:rPr>
              <w:t>Window</w:t>
            </w:r>
          </w:p>
        </w:tc>
        <w:tc>
          <w:tcPr>
            <w:tcW w:type="dxa" w:w="1080"/>
          </w:tcPr>
          <w:p>
            <w:r>
              <w:rPr>
                <w:b/>
                <w:sz w:val="17"/>
              </w:rPr>
            </w:r>
            <w:r>
              <w:rPr>
                <w:b/>
                <w:sz w:val="17"/>
              </w:rPr>
              <w:t>10-Ks</w:t>
            </w:r>
          </w:p>
        </w:tc>
        <w:tc>
          <w:tcPr>
            <w:tcW w:type="dxa" w:w="1080"/>
          </w:tcPr>
          <w:p>
            <w:r>
              <w:rPr>
                <w:b/>
                <w:sz w:val="17"/>
              </w:rPr>
            </w:r>
            <w:r>
              <w:rPr>
                <w:b/>
                <w:sz w:val="17"/>
              </w:rPr>
              <w:t>AAER</w:t>
            </w:r>
          </w:p>
        </w:tc>
      </w:tr>
      <w:tr>
        <w:tc>
          <w:tcPr>
            <w:tcW w:type="dxa" w:w="1080"/>
          </w:tcPr>
          <w:p>
            <w:r>
              <w:rPr>
                <w:sz w:val="17"/>
              </w:rPr>
            </w:r>
            <w:r>
              <w:rPr>
                <w:sz w:val="17"/>
              </w:rPr>
              <w:t>Ault Alliance</w:t>
            </w:r>
          </w:p>
        </w:tc>
        <w:tc>
          <w:tcPr>
            <w:tcW w:type="dxa" w:w="1080"/>
          </w:tcPr>
          <w:p>
            <w:r>
              <w:rPr>
                <w:sz w:val="17"/>
              </w:rPr>
            </w:r>
            <w:r>
              <w:rPr>
                <w:sz w:val="17"/>
              </w:rPr>
              <w:t>3533</w:t>
            </w:r>
          </w:p>
        </w:tc>
        <w:tc>
          <w:tcPr>
            <w:tcW w:type="dxa" w:w="1080"/>
          </w:tcPr>
          <w:p>
            <w:r>
              <w:rPr>
                <w:sz w:val="17"/>
              </w:rPr>
            </w:r>
            <w:r>
              <w:rPr>
                <w:sz w:val="17"/>
              </w:rPr>
              <w:t>misappropriation + misstatement</w:t>
            </w:r>
          </w:p>
        </w:tc>
        <w:tc>
          <w:tcPr>
            <w:tcW w:type="dxa" w:w="1080"/>
          </w:tcPr>
          <w:p>
            <w:r>
              <w:rPr>
                <w:sz w:val="17"/>
              </w:rPr>
            </w:r>
            <w:r>
              <w:rPr>
                <w:sz w:val="17"/>
              </w:rPr>
              <w:t>2023-04-14</w:t>
            </w:r>
          </w:p>
        </w:tc>
        <w:tc>
          <w:tcPr>
            <w:tcW w:type="dxa" w:w="1080"/>
          </w:tcPr>
          <w:p>
            <w:r>
              <w:rPr>
                <w:sz w:val="17"/>
              </w:rPr>
            </w:r>
            <w:r>
              <w:rPr>
                <w:sz w:val="17"/>
              </w:rPr>
              <w:t>medium</w:t>
            </w:r>
          </w:p>
        </w:tc>
        <w:tc>
          <w:tcPr>
            <w:tcW w:type="dxa" w:w="1080"/>
          </w:tcPr>
          <w:p>
            <w:r>
              <w:rPr>
                <w:sz w:val="17"/>
              </w:rPr>
            </w:r>
            <w:r>
              <w:rPr>
                <w:sz w:val="17"/>
              </w:rPr>
              <w:t>2018–2022</w:t>
            </w:r>
          </w:p>
        </w:tc>
        <w:tc>
          <w:tcPr>
            <w:tcW w:type="dxa" w:w="1080"/>
          </w:tcPr>
          <w:p>
            <w:r>
              <w:rPr>
                <w:sz w:val="17"/>
              </w:rPr>
            </w:r>
            <w:r>
              <w:rPr>
                <w:sz w:val="17"/>
              </w:rPr>
              <w:t>5</w:t>
            </w:r>
          </w:p>
        </w:tc>
        <w:tc>
          <w:tcPr>
            <w:tcW w:type="dxa" w:w="1080"/>
          </w:tcPr>
          <w:p>
            <w:r>
              <w:rPr>
                <w:sz w:val="17"/>
              </w:rPr>
            </w:r>
            <w:r>
              <w:rPr>
                <w:sz w:val="17"/>
              </w:rPr>
              <w:t>AAER-4440</w:t>
            </w:r>
          </w:p>
        </w:tc>
      </w:tr>
      <w:tr>
        <w:tc>
          <w:tcPr>
            <w:tcW w:type="dxa" w:w="1080"/>
          </w:tcPr>
          <w:p>
            <w:r>
              <w:rPr>
                <w:sz w:val="17"/>
              </w:rPr>
            </w:r>
            <w:r>
              <w:rPr>
                <w:sz w:val="17"/>
              </w:rPr>
              <w:t>Co-Diagnostics</w:t>
            </w:r>
          </w:p>
        </w:tc>
        <w:tc>
          <w:tcPr>
            <w:tcW w:type="dxa" w:w="1080"/>
          </w:tcPr>
          <w:p>
            <w:r>
              <w:rPr>
                <w:sz w:val="17"/>
              </w:rPr>
            </w:r>
            <w:r>
              <w:rPr>
                <w:sz w:val="17"/>
              </w:rPr>
              <w:t>3841</w:t>
            </w:r>
          </w:p>
        </w:tc>
        <w:tc>
          <w:tcPr>
            <w:tcW w:type="dxa" w:w="1080"/>
          </w:tcPr>
          <w:p>
            <w:r>
              <w:rPr>
                <w:sz w:val="17"/>
              </w:rPr>
            </w:r>
            <w:r>
              <w:rPr>
                <w:sz w:val="17"/>
              </w:rPr>
              <w:t>misstatement</w:t>
            </w:r>
          </w:p>
        </w:tc>
        <w:tc>
          <w:tcPr>
            <w:tcW w:type="dxa" w:w="1080"/>
          </w:tcPr>
          <w:p>
            <w:r>
              <w:rPr>
                <w:sz w:val="17"/>
              </w:rPr>
            </w:r>
            <w:r>
              <w:rPr>
                <w:sz w:val="17"/>
              </w:rPr>
              <w:t>2023-07-05</w:t>
            </w:r>
          </w:p>
        </w:tc>
        <w:tc>
          <w:tcPr>
            <w:tcW w:type="dxa" w:w="1080"/>
          </w:tcPr>
          <w:p>
            <w:r>
              <w:rPr>
                <w:sz w:val="17"/>
              </w:rPr>
            </w:r>
            <w:r>
              <w:rPr>
                <w:sz w:val="17"/>
              </w:rPr>
              <w:t>low</w:t>
            </w:r>
          </w:p>
        </w:tc>
        <w:tc>
          <w:tcPr>
            <w:tcW w:type="dxa" w:w="1080"/>
          </w:tcPr>
          <w:p>
            <w:r>
              <w:rPr>
                <w:sz w:val="17"/>
              </w:rPr>
            </w:r>
            <w:r>
              <w:rPr>
                <w:sz w:val="17"/>
              </w:rPr>
              <w:t>2018–2022</w:t>
            </w:r>
          </w:p>
        </w:tc>
        <w:tc>
          <w:tcPr>
            <w:tcW w:type="dxa" w:w="1080"/>
          </w:tcPr>
          <w:p>
            <w:r>
              <w:rPr>
                <w:sz w:val="17"/>
              </w:rPr>
            </w:r>
            <w:r>
              <w:rPr>
                <w:sz w:val="17"/>
              </w:rPr>
              <w:t>5</w:t>
            </w:r>
          </w:p>
        </w:tc>
        <w:tc>
          <w:tcPr>
            <w:tcW w:type="dxa" w:w="1080"/>
          </w:tcPr>
          <w:p>
            <w:r>
              <w:rPr>
                <w:sz w:val="17"/>
              </w:rPr>
            </w:r>
            <w:r>
              <w:rPr>
                <w:sz w:val="17"/>
              </w:rPr>
              <w:t>AAER-4428</w:t>
            </w:r>
          </w:p>
        </w:tc>
      </w:tr>
      <w:tr>
        <w:tc>
          <w:tcPr>
            <w:tcW w:type="dxa" w:w="1080"/>
          </w:tcPr>
          <w:p>
            <w:r>
              <w:rPr>
                <w:sz w:val="17"/>
              </w:rPr>
            </w:r>
            <w:r>
              <w:rPr>
                <w:sz w:val="17"/>
              </w:rPr>
              <w:t>Eagle Bancorp</w:t>
            </w:r>
          </w:p>
        </w:tc>
        <w:tc>
          <w:tcPr>
            <w:tcW w:type="dxa" w:w="1080"/>
          </w:tcPr>
          <w:p>
            <w:r>
              <w:rPr>
                <w:sz w:val="17"/>
              </w:rPr>
            </w:r>
            <w:r>
              <w:rPr>
                <w:sz w:val="17"/>
              </w:rPr>
              <w:t>6022</w:t>
            </w:r>
          </w:p>
        </w:tc>
        <w:tc>
          <w:tcPr>
            <w:tcW w:type="dxa" w:w="1080"/>
          </w:tcPr>
          <w:p>
            <w:r>
              <w:rPr>
                <w:sz w:val="17"/>
              </w:rPr>
            </w:r>
            <w:r>
              <w:rPr>
                <w:sz w:val="17"/>
              </w:rPr>
              <w:t>misstatement</w:t>
            </w:r>
          </w:p>
        </w:tc>
        <w:tc>
          <w:tcPr>
            <w:tcW w:type="dxa" w:w="1080"/>
          </w:tcPr>
          <w:p>
            <w:r>
              <w:rPr>
                <w:sz w:val="17"/>
              </w:rPr>
            </w:r>
            <w:r>
              <w:rPr>
                <w:sz w:val="17"/>
              </w:rPr>
              <w:t>2017-12-01</w:t>
            </w:r>
          </w:p>
        </w:tc>
        <w:tc>
          <w:tcPr>
            <w:tcW w:type="dxa" w:w="1080"/>
          </w:tcPr>
          <w:p>
            <w:r>
              <w:rPr>
                <w:sz w:val="17"/>
              </w:rPr>
            </w:r>
            <w:r>
              <w:rPr>
                <w:sz w:val="17"/>
              </w:rPr>
              <w:t>medium</w:t>
            </w:r>
          </w:p>
        </w:tc>
        <w:tc>
          <w:tcPr>
            <w:tcW w:type="dxa" w:w="1080"/>
          </w:tcPr>
          <w:p>
            <w:r>
              <w:rPr>
                <w:sz w:val="17"/>
              </w:rPr>
            </w:r>
            <w:r>
              <w:rPr>
                <w:sz w:val="17"/>
              </w:rPr>
              <w:t>2012–2016</w:t>
            </w:r>
          </w:p>
        </w:tc>
        <w:tc>
          <w:tcPr>
            <w:tcW w:type="dxa" w:w="1080"/>
          </w:tcPr>
          <w:p>
            <w:r>
              <w:rPr>
                <w:sz w:val="17"/>
              </w:rPr>
            </w:r>
            <w:r>
              <w:rPr>
                <w:sz w:val="17"/>
              </w:rPr>
              <w:t>5</w:t>
            </w:r>
          </w:p>
        </w:tc>
        <w:tc>
          <w:tcPr>
            <w:tcW w:type="dxa" w:w="1080"/>
          </w:tcPr>
          <w:p>
            <w:r>
              <w:rPr>
                <w:sz w:val="17"/>
              </w:rPr>
            </w:r>
            <w:r>
              <w:rPr>
                <w:sz w:val="17"/>
              </w:rPr>
              <w:t>AAER-4321</w:t>
            </w:r>
          </w:p>
        </w:tc>
      </w:tr>
      <w:tr>
        <w:tc>
          <w:tcPr>
            <w:tcW w:type="dxa" w:w="1080"/>
          </w:tcPr>
          <w:p>
            <w:r>
              <w:rPr>
                <w:sz w:val="17"/>
              </w:rPr>
            </w:r>
            <w:r>
              <w:rPr>
                <w:sz w:val="17"/>
              </w:rPr>
              <w:t>Ocwen Financial</w:t>
            </w:r>
          </w:p>
        </w:tc>
        <w:tc>
          <w:tcPr>
            <w:tcW w:type="dxa" w:w="1080"/>
          </w:tcPr>
          <w:p>
            <w:r>
              <w:rPr>
                <w:sz w:val="17"/>
              </w:rPr>
            </w:r>
            <w:r>
              <w:rPr>
                <w:sz w:val="17"/>
              </w:rPr>
              <w:t>6162</w:t>
            </w:r>
          </w:p>
        </w:tc>
        <w:tc>
          <w:tcPr>
            <w:tcW w:type="dxa" w:w="1080"/>
          </w:tcPr>
          <w:p>
            <w:r>
              <w:rPr>
                <w:sz w:val="17"/>
              </w:rPr>
            </w:r>
            <w:r>
              <w:rPr>
                <w:sz w:val="17"/>
              </w:rPr>
              <w:t>disclosure + misstatement</w:t>
            </w:r>
          </w:p>
        </w:tc>
        <w:tc>
          <w:tcPr>
            <w:tcW w:type="dxa" w:w="1080"/>
          </w:tcPr>
          <w:p>
            <w:r>
              <w:rPr>
                <w:sz w:val="17"/>
              </w:rPr>
            </w:r>
            <w:r>
              <w:rPr>
                <w:sz w:val="17"/>
              </w:rPr>
              <w:t>2014-08-18</w:t>
            </w:r>
          </w:p>
        </w:tc>
        <w:tc>
          <w:tcPr>
            <w:tcW w:type="dxa" w:w="1080"/>
          </w:tcPr>
          <w:p>
            <w:r>
              <w:rPr>
                <w:sz w:val="17"/>
              </w:rPr>
            </w:r>
            <w:r>
              <w:rPr>
                <w:sz w:val="17"/>
              </w:rPr>
              <w:t>high</w:t>
            </w:r>
          </w:p>
        </w:tc>
        <w:tc>
          <w:tcPr>
            <w:tcW w:type="dxa" w:w="1080"/>
          </w:tcPr>
          <w:p>
            <w:r>
              <w:rPr>
                <w:sz w:val="17"/>
              </w:rPr>
            </w:r>
            <w:r>
              <w:rPr>
                <w:sz w:val="17"/>
              </w:rPr>
              <w:t>2009–2013</w:t>
            </w:r>
          </w:p>
        </w:tc>
        <w:tc>
          <w:tcPr>
            <w:tcW w:type="dxa" w:w="1080"/>
          </w:tcPr>
          <w:p>
            <w:r>
              <w:rPr>
                <w:sz w:val="17"/>
              </w:rPr>
            </w:r>
            <w:r>
              <w:rPr>
                <w:sz w:val="17"/>
              </w:rPr>
              <w:t>5</w:t>
            </w:r>
          </w:p>
        </w:tc>
        <w:tc>
          <w:tcPr>
            <w:tcW w:type="dxa" w:w="1080"/>
          </w:tcPr>
          <w:p>
            <w:r>
              <w:rPr>
                <w:sz w:val="17"/>
              </w:rPr>
            </w:r>
            <w:r>
              <w:rPr>
                <w:sz w:val="17"/>
              </w:rPr>
              <w:t>AAER-3733</w:t>
            </w:r>
          </w:p>
        </w:tc>
      </w:tr>
      <w:tr>
        <w:tc>
          <w:tcPr>
            <w:tcW w:type="dxa" w:w="1080"/>
          </w:tcPr>
          <w:p>
            <w:r>
              <w:rPr>
                <w:sz w:val="17"/>
              </w:rPr>
            </w:r>
            <w:r>
              <w:rPr>
                <w:sz w:val="17"/>
              </w:rPr>
              <w:t>Valeant Pharmaceuticals</w:t>
            </w:r>
          </w:p>
        </w:tc>
        <w:tc>
          <w:tcPr>
            <w:tcW w:type="dxa" w:w="1080"/>
          </w:tcPr>
          <w:p>
            <w:r>
              <w:rPr>
                <w:sz w:val="17"/>
              </w:rPr>
            </w:r>
            <w:r>
              <w:rPr>
                <w:sz w:val="17"/>
              </w:rPr>
              <w:t>2834</w:t>
            </w:r>
          </w:p>
        </w:tc>
        <w:tc>
          <w:tcPr>
            <w:tcW w:type="dxa" w:w="1080"/>
          </w:tcPr>
          <w:p>
            <w:r>
              <w:rPr>
                <w:sz w:val="17"/>
              </w:rPr>
            </w:r>
            <w:r>
              <w:rPr>
                <w:sz w:val="17"/>
              </w:rPr>
              <w:t>misstatement</w:t>
            </w:r>
          </w:p>
        </w:tc>
        <w:tc>
          <w:tcPr>
            <w:tcW w:type="dxa" w:w="1080"/>
          </w:tcPr>
          <w:p>
            <w:r>
              <w:rPr>
                <w:sz w:val="17"/>
              </w:rPr>
            </w:r>
            <w:r>
              <w:rPr>
                <w:sz w:val="17"/>
              </w:rPr>
              <w:t>2015-10-21</w:t>
            </w:r>
          </w:p>
        </w:tc>
        <w:tc>
          <w:tcPr>
            <w:tcW w:type="dxa" w:w="1080"/>
          </w:tcPr>
          <w:p>
            <w:r>
              <w:rPr>
                <w:sz w:val="17"/>
              </w:rPr>
            </w:r>
            <w:r>
              <w:rPr>
                <w:sz w:val="17"/>
              </w:rPr>
              <w:t>medium</w:t>
            </w:r>
          </w:p>
        </w:tc>
        <w:tc>
          <w:tcPr>
            <w:tcW w:type="dxa" w:w="1080"/>
          </w:tcPr>
          <w:p>
            <w:r>
              <w:rPr>
                <w:sz w:val="17"/>
              </w:rPr>
            </w:r>
            <w:r>
              <w:rPr>
                <w:sz w:val="17"/>
              </w:rPr>
              <w:t>2010–2014</w:t>
            </w:r>
          </w:p>
        </w:tc>
        <w:tc>
          <w:tcPr>
            <w:tcW w:type="dxa" w:w="1080"/>
          </w:tcPr>
          <w:p>
            <w:r>
              <w:rPr>
                <w:sz w:val="17"/>
              </w:rPr>
            </w:r>
            <w:r>
              <w:rPr>
                <w:sz w:val="17"/>
              </w:rPr>
              <w:t>5</w:t>
            </w:r>
          </w:p>
        </w:tc>
        <w:tc>
          <w:tcPr>
            <w:tcW w:type="dxa" w:w="1080"/>
          </w:tcPr>
          <w:p>
            <w:r>
              <w:rPr>
                <w:sz w:val="17"/>
              </w:rPr>
            </w:r>
            <w:r>
              <w:rPr>
                <w:sz w:val="17"/>
              </w:rPr>
              <w:t>— (LR)</w:t>
            </w:r>
          </w:p>
        </w:tc>
      </w:tr>
      <w:tr>
        <w:tc>
          <w:tcPr>
            <w:tcW w:type="dxa" w:w="1080"/>
          </w:tcPr>
          <w:p>
            <w:r>
              <w:rPr>
                <w:sz w:val="17"/>
              </w:rPr>
            </w:r>
            <w:r>
              <w:rPr>
                <w:sz w:val="17"/>
              </w:rPr>
              <w:t>Manitex International</w:t>
            </w:r>
          </w:p>
        </w:tc>
        <w:tc>
          <w:tcPr>
            <w:tcW w:type="dxa" w:w="1080"/>
          </w:tcPr>
          <w:p>
            <w:r>
              <w:rPr>
                <w:sz w:val="17"/>
              </w:rPr>
            </w:r>
            <w:r>
              <w:rPr>
                <w:sz w:val="17"/>
              </w:rPr>
              <w:t>3559</w:t>
            </w:r>
          </w:p>
        </w:tc>
        <w:tc>
          <w:tcPr>
            <w:tcW w:type="dxa" w:w="1080"/>
          </w:tcPr>
          <w:p>
            <w:r>
              <w:rPr>
                <w:sz w:val="17"/>
              </w:rPr>
            </w:r>
            <w:r>
              <w:rPr>
                <w:sz w:val="17"/>
              </w:rPr>
              <w:t>misstatement</w:t>
            </w:r>
          </w:p>
        </w:tc>
        <w:tc>
          <w:tcPr>
            <w:tcW w:type="dxa" w:w="1080"/>
          </w:tcPr>
          <w:p>
            <w:r>
              <w:rPr>
                <w:sz w:val="17"/>
              </w:rPr>
            </w:r>
            <w:r>
              <w:rPr>
                <w:sz w:val="17"/>
              </w:rPr>
              <w:t>2018-04-03</w:t>
            </w:r>
          </w:p>
        </w:tc>
        <w:tc>
          <w:tcPr>
            <w:tcW w:type="dxa" w:w="1080"/>
          </w:tcPr>
          <w:p>
            <w:r>
              <w:rPr>
                <w:sz w:val="17"/>
              </w:rPr>
            </w:r>
            <w:r>
              <w:rPr>
                <w:sz w:val="17"/>
              </w:rPr>
              <w:t>high</w:t>
            </w:r>
          </w:p>
        </w:tc>
        <w:tc>
          <w:tcPr>
            <w:tcW w:type="dxa" w:w="1080"/>
          </w:tcPr>
          <w:p>
            <w:r>
              <w:rPr>
                <w:sz w:val="17"/>
              </w:rPr>
            </w:r>
            <w:r>
              <w:rPr>
                <w:sz w:val="17"/>
              </w:rPr>
              <w:t>2013–2017</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Singularity Future Technology</w:t>
            </w:r>
          </w:p>
        </w:tc>
        <w:tc>
          <w:tcPr>
            <w:tcW w:type="dxa" w:w="1080"/>
          </w:tcPr>
          <w:p>
            <w:r>
              <w:rPr>
                <w:sz w:val="17"/>
              </w:rPr>
            </w:r>
            <w:r>
              <w:rPr>
                <w:sz w:val="17"/>
              </w:rPr>
              <w:t>4731</w:t>
            </w:r>
          </w:p>
        </w:tc>
        <w:tc>
          <w:tcPr>
            <w:tcW w:type="dxa" w:w="1080"/>
          </w:tcPr>
          <w:p>
            <w:r>
              <w:rPr>
                <w:sz w:val="17"/>
              </w:rPr>
            </w:r>
            <w:r>
              <w:rPr>
                <w:sz w:val="17"/>
              </w:rPr>
              <w:t>misstatement</w:t>
            </w:r>
          </w:p>
        </w:tc>
        <w:tc>
          <w:tcPr>
            <w:tcW w:type="dxa" w:w="1080"/>
          </w:tcPr>
          <w:p>
            <w:r>
              <w:rPr>
                <w:sz w:val="17"/>
              </w:rPr>
            </w:r>
            <w:r>
              <w:rPr>
                <w:sz w:val="17"/>
              </w:rPr>
              <w:t>2023-03-06</w:t>
            </w:r>
          </w:p>
        </w:tc>
        <w:tc>
          <w:tcPr>
            <w:tcW w:type="dxa" w:w="1080"/>
          </w:tcPr>
          <w:p>
            <w:r>
              <w:rPr>
                <w:sz w:val="17"/>
              </w:rPr>
            </w:r>
            <w:r>
              <w:rPr>
                <w:sz w:val="17"/>
              </w:rPr>
              <w:t>high</w:t>
            </w:r>
          </w:p>
        </w:tc>
        <w:tc>
          <w:tcPr>
            <w:tcW w:type="dxa" w:w="1080"/>
          </w:tcPr>
          <w:p>
            <w:r>
              <w:rPr>
                <w:sz w:val="17"/>
              </w:rPr>
            </w:r>
            <w:r>
              <w:rPr>
                <w:sz w:val="17"/>
              </w:rPr>
              <w:t>2018–2022</w:t>
            </w:r>
          </w:p>
        </w:tc>
        <w:tc>
          <w:tcPr>
            <w:tcW w:type="dxa" w:w="1080"/>
          </w:tcPr>
          <w:p>
            <w:r>
              <w:rPr>
                <w:sz w:val="17"/>
              </w:rPr>
            </w:r>
            <w:r>
              <w:rPr>
                <w:sz w:val="17"/>
              </w:rPr>
              <w:t>5</w:t>
            </w:r>
          </w:p>
        </w:tc>
        <w:tc>
          <w:tcPr>
            <w:tcW w:type="dxa" w:w="1080"/>
          </w:tcPr>
          <w:p>
            <w:r>
              <w:rPr>
                <w:sz w:val="17"/>
              </w:rPr>
            </w:r>
            <w:r>
              <w:rPr>
                <w:sz w:val="17"/>
              </w:rPr>
              <w:t>AAER-4557</w:t>
            </w:r>
          </w:p>
        </w:tc>
      </w:tr>
      <w:tr>
        <w:tc>
          <w:tcPr>
            <w:tcW w:type="dxa" w:w="1080"/>
          </w:tcPr>
          <w:p>
            <w:r>
              <w:rPr>
                <w:sz w:val="17"/>
              </w:rPr>
            </w:r>
            <w:r>
              <w:rPr>
                <w:sz w:val="17"/>
              </w:rPr>
              <w:t>Puda Coal</w:t>
            </w:r>
          </w:p>
        </w:tc>
        <w:tc>
          <w:tcPr>
            <w:tcW w:type="dxa" w:w="1080"/>
          </w:tcPr>
          <w:p>
            <w:r>
              <w:rPr>
                <w:sz w:val="17"/>
              </w:rPr>
            </w:r>
            <w:r>
              <w:rPr>
                <w:sz w:val="17"/>
              </w:rPr>
              <w:t>1221</w:t>
            </w:r>
          </w:p>
        </w:tc>
        <w:tc>
          <w:tcPr>
            <w:tcW w:type="dxa" w:w="1080"/>
          </w:tcPr>
          <w:p>
            <w:r>
              <w:rPr>
                <w:sz w:val="17"/>
              </w:rPr>
            </w:r>
            <w:r>
              <w:rPr>
                <w:sz w:val="17"/>
              </w:rPr>
              <w:t>misappropriation</w:t>
            </w:r>
          </w:p>
        </w:tc>
        <w:tc>
          <w:tcPr>
            <w:tcW w:type="dxa" w:w="1080"/>
          </w:tcPr>
          <w:p>
            <w:r>
              <w:rPr>
                <w:sz w:val="17"/>
              </w:rPr>
            </w:r>
            <w:r>
              <w:rPr>
                <w:sz w:val="17"/>
              </w:rPr>
              <w:t>2011-04-08</w:t>
            </w:r>
          </w:p>
        </w:tc>
        <w:tc>
          <w:tcPr>
            <w:tcW w:type="dxa" w:w="1080"/>
          </w:tcPr>
          <w:p>
            <w:r>
              <w:rPr>
                <w:sz w:val="17"/>
              </w:rPr>
            </w:r>
            <w:r>
              <w:rPr>
                <w:sz w:val="17"/>
              </w:rPr>
              <w:t>medium</w:t>
            </w:r>
          </w:p>
        </w:tc>
        <w:tc>
          <w:tcPr>
            <w:tcW w:type="dxa" w:w="1080"/>
          </w:tcPr>
          <w:p>
            <w:r>
              <w:rPr>
                <w:sz w:val="17"/>
              </w:rPr>
            </w:r>
            <w:r>
              <w:rPr>
                <w:sz w:val="17"/>
              </w:rPr>
              <w:t>2006–2010</w:t>
            </w:r>
          </w:p>
        </w:tc>
        <w:tc>
          <w:tcPr>
            <w:tcW w:type="dxa" w:w="1080"/>
          </w:tcPr>
          <w:p>
            <w:r>
              <w:rPr>
                <w:sz w:val="17"/>
              </w:rPr>
            </w:r>
            <w:r>
              <w:rPr>
                <w:sz w:val="17"/>
              </w:rPr>
              <w:t>4</w:t>
            </w:r>
          </w:p>
        </w:tc>
        <w:tc>
          <w:tcPr>
            <w:tcW w:type="dxa" w:w="1080"/>
          </w:tcPr>
          <w:p>
            <w:r>
              <w:rPr>
                <w:sz w:val="17"/>
              </w:rPr>
            </w:r>
            <w:r>
              <w:rPr>
                <w:sz w:val="17"/>
              </w:rPr>
              <w:t>— (LR)</w:t>
            </w:r>
          </w:p>
        </w:tc>
      </w:tr>
      <w:tr>
        <w:tc>
          <w:tcPr>
            <w:tcW w:type="dxa" w:w="1080"/>
          </w:tcPr>
          <w:p>
            <w:r>
              <w:rPr>
                <w:sz w:val="17"/>
              </w:rPr>
            </w:r>
            <w:r>
              <w:rPr>
                <w:sz w:val="17"/>
              </w:rPr>
              <w:t>General Employment Enterprises</w:t>
            </w:r>
          </w:p>
        </w:tc>
        <w:tc>
          <w:tcPr>
            <w:tcW w:type="dxa" w:w="1080"/>
          </w:tcPr>
          <w:p>
            <w:r>
              <w:rPr>
                <w:sz w:val="17"/>
              </w:rPr>
            </w:r>
            <w:r>
              <w:rPr>
                <w:sz w:val="17"/>
              </w:rPr>
              <w:t>7361</w:t>
            </w:r>
          </w:p>
        </w:tc>
        <w:tc>
          <w:tcPr>
            <w:tcW w:type="dxa" w:w="1080"/>
          </w:tcPr>
          <w:p>
            <w:r>
              <w:rPr>
                <w:sz w:val="17"/>
              </w:rPr>
            </w:r>
            <w:r>
              <w:rPr>
                <w:sz w:val="17"/>
              </w:rPr>
              <w:t>misstatement</w:t>
            </w:r>
          </w:p>
        </w:tc>
        <w:tc>
          <w:tcPr>
            <w:tcW w:type="dxa" w:w="1080"/>
          </w:tcPr>
          <w:p>
            <w:r>
              <w:rPr>
                <w:sz w:val="17"/>
              </w:rPr>
            </w:r>
            <w:r>
              <w:rPr>
                <w:sz w:val="17"/>
              </w:rPr>
              <w:t>2015-04-30</w:t>
            </w:r>
          </w:p>
        </w:tc>
        <w:tc>
          <w:tcPr>
            <w:tcW w:type="dxa" w:w="1080"/>
          </w:tcPr>
          <w:p>
            <w:r>
              <w:rPr>
                <w:sz w:val="17"/>
              </w:rPr>
            </w:r>
            <w:r>
              <w:rPr>
                <w:sz w:val="17"/>
              </w:rPr>
              <w:t>low</w:t>
            </w:r>
          </w:p>
        </w:tc>
        <w:tc>
          <w:tcPr>
            <w:tcW w:type="dxa" w:w="1080"/>
          </w:tcPr>
          <w:p>
            <w:r>
              <w:rPr>
                <w:sz w:val="17"/>
              </w:rPr>
            </w:r>
            <w:r>
              <w:rPr>
                <w:sz w:val="17"/>
              </w:rPr>
              <w:t>2010–2014</w:t>
            </w:r>
          </w:p>
        </w:tc>
        <w:tc>
          <w:tcPr>
            <w:tcW w:type="dxa" w:w="1080"/>
          </w:tcPr>
          <w:p>
            <w:r>
              <w:rPr>
                <w:sz w:val="17"/>
              </w:rPr>
            </w:r>
            <w:r>
              <w:rPr>
                <w:sz w:val="17"/>
              </w:rPr>
              <w:t>5</w:t>
            </w:r>
          </w:p>
        </w:tc>
        <w:tc>
          <w:tcPr>
            <w:tcW w:type="dxa" w:w="1080"/>
          </w:tcPr>
          <w:p>
            <w:r>
              <w:rPr>
                <w:sz w:val="17"/>
              </w:rPr>
            </w:r>
            <w:r>
              <w:rPr>
                <w:sz w:val="17"/>
              </w:rPr>
              <w:t>— (LR)</w:t>
            </w:r>
          </w:p>
        </w:tc>
      </w:tr>
      <w:tr>
        <w:tc>
          <w:tcPr>
            <w:tcW w:type="dxa" w:w="1080"/>
          </w:tcPr>
          <w:p>
            <w:r>
              <w:rPr>
                <w:sz w:val="17"/>
              </w:rPr>
            </w:r>
            <w:r>
              <w:rPr>
                <w:sz w:val="17"/>
              </w:rPr>
              <w:t>SAExploration Holdings</w:t>
            </w:r>
          </w:p>
        </w:tc>
        <w:tc>
          <w:tcPr>
            <w:tcW w:type="dxa" w:w="1080"/>
          </w:tcPr>
          <w:p>
            <w:r>
              <w:rPr>
                <w:sz w:val="17"/>
              </w:rPr>
            </w:r>
            <w:r>
              <w:rPr>
                <w:sz w:val="17"/>
              </w:rPr>
              <w:t>1382</w:t>
            </w:r>
          </w:p>
        </w:tc>
        <w:tc>
          <w:tcPr>
            <w:tcW w:type="dxa" w:w="1080"/>
          </w:tcPr>
          <w:p>
            <w:r>
              <w:rPr>
                <w:sz w:val="17"/>
              </w:rPr>
            </w:r>
            <w:r>
              <w:rPr>
                <w:sz w:val="17"/>
              </w:rPr>
              <w:t>misstatement</w:t>
            </w:r>
          </w:p>
        </w:tc>
        <w:tc>
          <w:tcPr>
            <w:tcW w:type="dxa" w:w="1080"/>
          </w:tcPr>
          <w:p>
            <w:r>
              <w:rPr>
                <w:sz w:val="17"/>
              </w:rPr>
            </w:r>
            <w:r>
              <w:rPr>
                <w:sz w:val="17"/>
              </w:rPr>
              <w:t>2019-08-15</w:t>
            </w:r>
          </w:p>
        </w:tc>
        <w:tc>
          <w:tcPr>
            <w:tcW w:type="dxa" w:w="1080"/>
          </w:tcPr>
          <w:p>
            <w:r>
              <w:rPr>
                <w:sz w:val="17"/>
              </w:rPr>
            </w:r>
            <w:r>
              <w:rPr>
                <w:sz w:val="17"/>
              </w:rPr>
              <w:t>medium</w:t>
            </w:r>
          </w:p>
        </w:tc>
        <w:tc>
          <w:tcPr>
            <w:tcW w:type="dxa" w:w="1080"/>
          </w:tcPr>
          <w:p>
            <w:r>
              <w:rPr>
                <w:sz w:val="17"/>
              </w:rPr>
            </w:r>
            <w:r>
              <w:rPr>
                <w:sz w:val="17"/>
              </w:rPr>
              <w:t>2014–2018</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Ideanomics</w:t>
            </w:r>
          </w:p>
        </w:tc>
        <w:tc>
          <w:tcPr>
            <w:tcW w:type="dxa" w:w="1080"/>
          </w:tcPr>
          <w:p>
            <w:r>
              <w:rPr>
                <w:sz w:val="17"/>
              </w:rPr>
            </w:r>
            <w:r>
              <w:rPr>
                <w:sz w:val="17"/>
              </w:rPr>
              <w:t>3711</w:t>
            </w:r>
          </w:p>
        </w:tc>
        <w:tc>
          <w:tcPr>
            <w:tcW w:type="dxa" w:w="1080"/>
          </w:tcPr>
          <w:p>
            <w:r>
              <w:rPr>
                <w:sz w:val="17"/>
              </w:rPr>
            </w:r>
            <w:r>
              <w:rPr>
                <w:sz w:val="17"/>
              </w:rPr>
              <w:t>misstatement</w:t>
            </w:r>
          </w:p>
        </w:tc>
        <w:tc>
          <w:tcPr>
            <w:tcW w:type="dxa" w:w="1080"/>
          </w:tcPr>
          <w:p>
            <w:r>
              <w:rPr>
                <w:sz w:val="17"/>
              </w:rPr>
            </w:r>
            <w:r>
              <w:rPr>
                <w:sz w:val="17"/>
              </w:rPr>
              <w:t>2018-08-28</w:t>
            </w:r>
          </w:p>
        </w:tc>
        <w:tc>
          <w:tcPr>
            <w:tcW w:type="dxa" w:w="1080"/>
          </w:tcPr>
          <w:p>
            <w:r>
              <w:rPr>
                <w:sz w:val="17"/>
              </w:rPr>
            </w:r>
            <w:r>
              <w:rPr>
                <w:sz w:val="17"/>
              </w:rPr>
              <w:t>medium</w:t>
            </w:r>
          </w:p>
        </w:tc>
        <w:tc>
          <w:tcPr>
            <w:tcW w:type="dxa" w:w="1080"/>
          </w:tcPr>
          <w:p>
            <w:r>
              <w:rPr>
                <w:sz w:val="17"/>
              </w:rPr>
            </w:r>
            <w:r>
              <w:rPr>
                <w:sz w:val="17"/>
              </w:rPr>
              <w:t>2013–2017</w:t>
            </w:r>
          </w:p>
        </w:tc>
        <w:tc>
          <w:tcPr>
            <w:tcW w:type="dxa" w:w="1080"/>
          </w:tcPr>
          <w:p>
            <w:r>
              <w:rPr>
                <w:sz w:val="17"/>
              </w:rPr>
            </w:r>
            <w:r>
              <w:rPr>
                <w:sz w:val="17"/>
              </w:rPr>
              <w:t>5</w:t>
            </w:r>
          </w:p>
        </w:tc>
        <w:tc>
          <w:tcPr>
            <w:tcW w:type="dxa" w:w="1080"/>
          </w:tcPr>
          <w:p>
            <w:r>
              <w:rPr>
                <w:sz w:val="17"/>
              </w:rPr>
            </w:r>
            <w:r>
              <w:rPr>
                <w:sz w:val="17"/>
              </w:rPr>
              <w:t>AAER-4512</w:t>
            </w:r>
          </w:p>
        </w:tc>
      </w:tr>
      <w:tr>
        <w:tc>
          <w:tcPr>
            <w:tcW w:type="dxa" w:w="1080"/>
          </w:tcPr>
          <w:p>
            <w:r>
              <w:rPr>
                <w:sz w:val="17"/>
              </w:rPr>
            </w:r>
            <w:r>
              <w:rPr>
                <w:sz w:val="17"/>
              </w:rPr>
              <w:t>United Development Funding IV</w:t>
            </w:r>
          </w:p>
        </w:tc>
        <w:tc>
          <w:tcPr>
            <w:tcW w:type="dxa" w:w="1080"/>
          </w:tcPr>
          <w:p>
            <w:r>
              <w:rPr>
                <w:sz w:val="17"/>
              </w:rPr>
            </w:r>
            <w:r>
              <w:rPr>
                <w:sz w:val="17"/>
              </w:rPr>
              <w:t>6798</w:t>
            </w:r>
          </w:p>
        </w:tc>
        <w:tc>
          <w:tcPr>
            <w:tcW w:type="dxa" w:w="1080"/>
          </w:tcPr>
          <w:p>
            <w:r>
              <w:rPr>
                <w:sz w:val="17"/>
              </w:rPr>
            </w:r>
            <w:r>
              <w:rPr>
                <w:sz w:val="17"/>
              </w:rPr>
              <w:t>misstatement</w:t>
            </w:r>
          </w:p>
        </w:tc>
        <w:tc>
          <w:tcPr>
            <w:tcW w:type="dxa" w:w="1080"/>
          </w:tcPr>
          <w:p>
            <w:r>
              <w:rPr>
                <w:sz w:val="17"/>
              </w:rPr>
            </w:r>
            <w:r>
              <w:rPr>
                <w:sz w:val="17"/>
              </w:rPr>
              <w:t>2015-12-10</w:t>
            </w:r>
          </w:p>
        </w:tc>
        <w:tc>
          <w:tcPr>
            <w:tcW w:type="dxa" w:w="1080"/>
          </w:tcPr>
          <w:p>
            <w:r>
              <w:rPr>
                <w:sz w:val="17"/>
              </w:rPr>
            </w:r>
            <w:r>
              <w:rPr>
                <w:sz w:val="17"/>
              </w:rPr>
              <w:t>medium</w:t>
            </w:r>
          </w:p>
        </w:tc>
        <w:tc>
          <w:tcPr>
            <w:tcW w:type="dxa" w:w="1080"/>
          </w:tcPr>
          <w:p>
            <w:r>
              <w:rPr>
                <w:sz w:val="17"/>
              </w:rPr>
            </w:r>
            <w:r>
              <w:rPr>
                <w:sz w:val="17"/>
              </w:rPr>
              <w:t>2010–2014</w:t>
            </w:r>
          </w:p>
        </w:tc>
        <w:tc>
          <w:tcPr>
            <w:tcW w:type="dxa" w:w="1080"/>
          </w:tcPr>
          <w:p>
            <w:r>
              <w:rPr>
                <w:sz w:val="17"/>
              </w:rPr>
            </w:r>
            <w:r>
              <w:rPr>
                <w:sz w:val="17"/>
              </w:rPr>
              <w:t>5</w:t>
            </w:r>
          </w:p>
        </w:tc>
        <w:tc>
          <w:tcPr>
            <w:tcW w:type="dxa" w:w="1080"/>
          </w:tcPr>
          <w:p>
            <w:r>
              <w:rPr>
                <w:sz w:val="17"/>
              </w:rPr>
            </w:r>
            <w:r>
              <w:rPr>
                <w:sz w:val="17"/>
              </w:rPr>
              <w:t>— (LR-24185)</w:t>
            </w:r>
          </w:p>
        </w:tc>
      </w:tr>
      <w:tr>
        <w:tc>
          <w:tcPr>
            <w:tcW w:type="dxa" w:w="1080"/>
          </w:tcPr>
          <w:p>
            <w:r>
              <w:rPr>
                <w:sz w:val="17"/>
              </w:rPr>
            </w:r>
            <w:r>
              <w:rPr>
                <w:sz w:val="17"/>
              </w:rPr>
              <w:t>FAT Brands</w:t>
            </w:r>
          </w:p>
        </w:tc>
        <w:tc>
          <w:tcPr>
            <w:tcW w:type="dxa" w:w="1080"/>
          </w:tcPr>
          <w:p>
            <w:r>
              <w:rPr>
                <w:sz w:val="17"/>
              </w:rPr>
            </w:r>
            <w:r>
              <w:rPr>
                <w:sz w:val="17"/>
              </w:rPr>
              <w:t>5812</w:t>
            </w:r>
          </w:p>
        </w:tc>
        <w:tc>
          <w:tcPr>
            <w:tcW w:type="dxa" w:w="1080"/>
          </w:tcPr>
          <w:p>
            <w:r>
              <w:rPr>
                <w:sz w:val="17"/>
              </w:rPr>
            </w:r>
            <w:r>
              <w:rPr>
                <w:sz w:val="17"/>
              </w:rPr>
              <w:t>misappropriation</w:t>
            </w:r>
          </w:p>
        </w:tc>
        <w:tc>
          <w:tcPr>
            <w:tcW w:type="dxa" w:w="1080"/>
          </w:tcPr>
          <w:p>
            <w:r>
              <w:rPr>
                <w:sz w:val="17"/>
              </w:rPr>
            </w:r>
            <w:r>
              <w:rPr>
                <w:sz w:val="17"/>
              </w:rPr>
              <w:t>2024-05-10</w:t>
            </w:r>
          </w:p>
        </w:tc>
        <w:tc>
          <w:tcPr>
            <w:tcW w:type="dxa" w:w="1080"/>
          </w:tcPr>
          <w:p>
            <w:r>
              <w:rPr>
                <w:sz w:val="17"/>
              </w:rPr>
            </w:r>
            <w:r>
              <w:rPr>
                <w:sz w:val="17"/>
              </w:rPr>
              <w:t>low</w:t>
            </w:r>
          </w:p>
        </w:tc>
        <w:tc>
          <w:tcPr>
            <w:tcW w:type="dxa" w:w="1080"/>
          </w:tcPr>
          <w:p>
            <w:r>
              <w:rPr>
                <w:sz w:val="17"/>
              </w:rPr>
            </w:r>
            <w:r>
              <w:rPr>
                <w:sz w:val="17"/>
              </w:rPr>
              <w:t>2019–2023</w:t>
            </w:r>
          </w:p>
        </w:tc>
        <w:tc>
          <w:tcPr>
            <w:tcW w:type="dxa" w:w="1080"/>
          </w:tcPr>
          <w:p>
            <w:r>
              <w:rPr>
                <w:sz w:val="17"/>
              </w:rPr>
            </w:r>
            <w:r>
              <w:rPr>
                <w:sz w:val="17"/>
              </w:rPr>
              <w:t>5</w:t>
            </w:r>
          </w:p>
        </w:tc>
        <w:tc>
          <w:tcPr>
            <w:tcW w:type="dxa" w:w="1080"/>
          </w:tcPr>
          <w:p>
            <w:r>
              <w:rPr>
                <w:sz w:val="17"/>
              </w:rPr>
            </w:r>
            <w:r>
              <w:rPr>
                <w:sz w:val="17"/>
              </w:rPr>
              <w:t>— (LR-26001)</w:t>
            </w:r>
          </w:p>
        </w:tc>
      </w:tr>
      <w:tr>
        <w:tc>
          <w:tcPr>
            <w:tcW w:type="dxa" w:w="1080"/>
          </w:tcPr>
          <w:p>
            <w:r>
              <w:rPr>
                <w:sz w:val="17"/>
              </w:rPr>
            </w:r>
            <w:r>
              <w:rPr>
                <w:sz w:val="17"/>
              </w:rPr>
              <w:t>Ammo Inc / Outdoor Holding</w:t>
            </w:r>
          </w:p>
        </w:tc>
        <w:tc>
          <w:tcPr>
            <w:tcW w:type="dxa" w:w="1080"/>
          </w:tcPr>
          <w:p>
            <w:r>
              <w:rPr>
                <w:sz w:val="17"/>
              </w:rPr>
            </w:r>
            <w:r>
              <w:rPr>
                <w:sz w:val="17"/>
              </w:rPr>
              <w:t>7389</w:t>
            </w:r>
          </w:p>
        </w:tc>
        <w:tc>
          <w:tcPr>
            <w:tcW w:type="dxa" w:w="1080"/>
          </w:tcPr>
          <w:p>
            <w:r>
              <w:rPr>
                <w:sz w:val="17"/>
              </w:rPr>
            </w:r>
            <w:r>
              <w:rPr>
                <w:sz w:val="17"/>
              </w:rPr>
              <w:t>disclosure + misstatement</w:t>
            </w:r>
          </w:p>
        </w:tc>
        <w:tc>
          <w:tcPr>
            <w:tcW w:type="dxa" w:w="1080"/>
          </w:tcPr>
          <w:p>
            <w:r>
              <w:rPr>
                <w:sz w:val="17"/>
              </w:rPr>
            </w:r>
            <w:r>
              <w:rPr>
                <w:sz w:val="17"/>
              </w:rPr>
              <w:t>2024-07-29</w:t>
            </w:r>
          </w:p>
        </w:tc>
        <w:tc>
          <w:tcPr>
            <w:tcW w:type="dxa" w:w="1080"/>
          </w:tcPr>
          <w:p>
            <w:r>
              <w:rPr>
                <w:sz w:val="17"/>
              </w:rPr>
            </w:r>
            <w:r>
              <w:rPr>
                <w:sz w:val="17"/>
              </w:rPr>
              <w:t>medium</w:t>
            </w:r>
          </w:p>
        </w:tc>
        <w:tc>
          <w:tcPr>
            <w:tcW w:type="dxa" w:w="1080"/>
          </w:tcPr>
          <w:p>
            <w:r>
              <w:rPr>
                <w:sz w:val="17"/>
              </w:rPr>
            </w:r>
            <w:r>
              <w:rPr>
                <w:sz w:val="17"/>
              </w:rPr>
              <w:t>2019–2023</w:t>
            </w:r>
          </w:p>
        </w:tc>
        <w:tc>
          <w:tcPr>
            <w:tcW w:type="dxa" w:w="1080"/>
          </w:tcPr>
          <w:p>
            <w:r>
              <w:rPr>
                <w:sz w:val="17"/>
              </w:rPr>
            </w:r>
            <w:r>
              <w:rPr>
                <w:sz w:val="17"/>
              </w:rPr>
              <w:t>5</w:t>
            </w:r>
          </w:p>
        </w:tc>
        <w:tc>
          <w:tcPr>
            <w:tcW w:type="dxa" w:w="1080"/>
          </w:tcPr>
          <w:p>
            <w:r>
              <w:rPr>
                <w:sz w:val="17"/>
              </w:rPr>
            </w:r>
            <w:r>
              <w:rPr>
                <w:sz w:val="17"/>
              </w:rPr>
              <w:t>— (LR-26446)</w:t>
            </w:r>
          </w:p>
        </w:tc>
      </w:tr>
      <w:tr>
        <w:tc>
          <w:tcPr>
            <w:tcW w:type="dxa" w:w="1080"/>
          </w:tcPr>
          <w:p>
            <w:r>
              <w:rPr>
                <w:sz w:val="17"/>
              </w:rPr>
            </w:r>
            <w:r>
              <w:rPr>
                <w:sz w:val="17"/>
              </w:rPr>
              <w:t>MusclePharm</w:t>
            </w:r>
          </w:p>
        </w:tc>
        <w:tc>
          <w:tcPr>
            <w:tcW w:type="dxa" w:w="1080"/>
          </w:tcPr>
          <w:p>
            <w:r>
              <w:rPr>
                <w:sz w:val="17"/>
              </w:rPr>
            </w:r>
            <w:r>
              <w:rPr>
                <w:sz w:val="17"/>
              </w:rPr>
              <w:t>2834</w:t>
            </w:r>
          </w:p>
        </w:tc>
        <w:tc>
          <w:tcPr>
            <w:tcW w:type="dxa" w:w="1080"/>
          </w:tcPr>
          <w:p>
            <w:r>
              <w:rPr>
                <w:sz w:val="17"/>
              </w:rPr>
            </w:r>
            <w:r>
              <w:rPr>
                <w:sz w:val="17"/>
              </w:rPr>
              <w:t>disclosure + misstatement</w:t>
            </w:r>
          </w:p>
        </w:tc>
        <w:tc>
          <w:tcPr>
            <w:tcW w:type="dxa" w:w="1080"/>
          </w:tcPr>
          <w:p>
            <w:r>
              <w:rPr>
                <w:sz w:val="17"/>
              </w:rPr>
            </w:r>
            <w:r>
              <w:rPr>
                <w:sz w:val="17"/>
              </w:rPr>
              <w:t>2012-05-14</w:t>
            </w:r>
          </w:p>
        </w:tc>
        <w:tc>
          <w:tcPr>
            <w:tcW w:type="dxa" w:w="1080"/>
          </w:tcPr>
          <w:p>
            <w:r>
              <w:rPr>
                <w:sz w:val="17"/>
              </w:rPr>
            </w:r>
            <w:r>
              <w:rPr>
                <w:sz w:val="17"/>
              </w:rPr>
              <w:t>high</w:t>
            </w:r>
          </w:p>
        </w:tc>
        <w:tc>
          <w:tcPr>
            <w:tcW w:type="dxa" w:w="1080"/>
          </w:tcPr>
          <w:p>
            <w:r>
              <w:rPr>
                <w:sz w:val="17"/>
              </w:rPr>
            </w:r>
            <w:r>
              <w:rPr>
                <w:sz w:val="17"/>
              </w:rPr>
              <w:t>2007–2011</w:t>
            </w:r>
          </w:p>
        </w:tc>
        <w:tc>
          <w:tcPr>
            <w:tcW w:type="dxa" w:w="1080"/>
          </w:tcPr>
          <w:p>
            <w:r>
              <w:rPr>
                <w:sz w:val="17"/>
              </w:rPr>
            </w:r>
            <w:r>
              <w:rPr>
                <w:sz w:val="17"/>
              </w:rPr>
              <w:t>4</w:t>
            </w:r>
          </w:p>
        </w:tc>
        <w:tc>
          <w:tcPr>
            <w:tcW w:type="dxa" w:w="1080"/>
          </w:tcPr>
          <w:p>
            <w:r>
              <w:rPr>
                <w:sz w:val="17"/>
              </w:rPr>
            </w:r>
            <w:r>
              <w:rPr>
                <w:sz w:val="17"/>
              </w:rPr>
              <w:t>—</w:t>
            </w:r>
          </w:p>
        </w:tc>
      </w:tr>
      <w:tr>
        <w:tc>
          <w:tcPr>
            <w:tcW w:type="dxa" w:w="1080"/>
          </w:tcPr>
          <w:p>
            <w:r>
              <w:rPr>
                <w:sz w:val="17"/>
              </w:rPr>
            </w:r>
            <w:r>
              <w:rPr>
                <w:sz w:val="17"/>
              </w:rPr>
              <w:t>China Valves Technology</w:t>
            </w:r>
          </w:p>
        </w:tc>
        <w:tc>
          <w:tcPr>
            <w:tcW w:type="dxa" w:w="1080"/>
          </w:tcPr>
          <w:p>
            <w:r>
              <w:rPr>
                <w:sz w:val="17"/>
              </w:rPr>
            </w:r>
            <w:r>
              <w:rPr>
                <w:sz w:val="17"/>
              </w:rPr>
              <w:t>3490</w:t>
            </w:r>
          </w:p>
        </w:tc>
        <w:tc>
          <w:tcPr>
            <w:tcW w:type="dxa" w:w="1080"/>
          </w:tcPr>
          <w:p>
            <w:r>
              <w:rPr>
                <w:sz w:val="17"/>
              </w:rPr>
            </w:r>
            <w:r>
              <w:rPr>
                <w:sz w:val="17"/>
              </w:rPr>
              <w:t>misstatement</w:t>
            </w:r>
          </w:p>
        </w:tc>
        <w:tc>
          <w:tcPr>
            <w:tcW w:type="dxa" w:w="1080"/>
          </w:tcPr>
          <w:p>
            <w:r>
              <w:rPr>
                <w:sz w:val="17"/>
              </w:rPr>
            </w:r>
            <w:r>
              <w:rPr>
                <w:sz w:val="17"/>
              </w:rPr>
              <w:t>2012-02-28</w:t>
            </w:r>
          </w:p>
        </w:tc>
        <w:tc>
          <w:tcPr>
            <w:tcW w:type="dxa" w:w="1080"/>
          </w:tcPr>
          <w:p>
            <w:r>
              <w:rPr>
                <w:sz w:val="17"/>
              </w:rPr>
            </w:r>
            <w:r>
              <w:rPr>
                <w:sz w:val="17"/>
              </w:rPr>
              <w:t>high</w:t>
            </w:r>
          </w:p>
        </w:tc>
        <w:tc>
          <w:tcPr>
            <w:tcW w:type="dxa" w:w="1080"/>
          </w:tcPr>
          <w:p>
            <w:r>
              <w:rPr>
                <w:sz w:val="17"/>
              </w:rPr>
            </w:r>
            <w:r>
              <w:rPr>
                <w:sz w:val="17"/>
              </w:rPr>
              <w:t>2007–2011</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Cemtrex</w:t>
            </w:r>
          </w:p>
        </w:tc>
        <w:tc>
          <w:tcPr>
            <w:tcW w:type="dxa" w:w="1080"/>
          </w:tcPr>
          <w:p>
            <w:r>
              <w:rPr>
                <w:sz w:val="17"/>
              </w:rPr>
            </w:r>
            <w:r>
              <w:rPr>
                <w:sz w:val="17"/>
              </w:rPr>
              <w:t>1700</w:t>
            </w:r>
          </w:p>
        </w:tc>
        <w:tc>
          <w:tcPr>
            <w:tcW w:type="dxa" w:w="1080"/>
          </w:tcPr>
          <w:p>
            <w:r>
              <w:rPr>
                <w:sz w:val="17"/>
              </w:rPr>
            </w:r>
            <w:r>
              <w:rPr>
                <w:sz w:val="17"/>
              </w:rPr>
              <w:t>misappropriation</w:t>
            </w:r>
          </w:p>
        </w:tc>
        <w:tc>
          <w:tcPr>
            <w:tcW w:type="dxa" w:w="1080"/>
          </w:tcPr>
          <w:p>
            <w:r>
              <w:rPr>
                <w:sz w:val="17"/>
              </w:rPr>
            </w:r>
            <w:r>
              <w:rPr>
                <w:sz w:val="17"/>
              </w:rPr>
              <w:t>2017-02-22</w:t>
            </w:r>
          </w:p>
        </w:tc>
        <w:tc>
          <w:tcPr>
            <w:tcW w:type="dxa" w:w="1080"/>
          </w:tcPr>
          <w:p>
            <w:r>
              <w:rPr>
                <w:sz w:val="17"/>
              </w:rPr>
            </w:r>
            <w:r>
              <w:rPr>
                <w:sz w:val="17"/>
              </w:rPr>
              <w:t>medium</w:t>
            </w:r>
          </w:p>
        </w:tc>
        <w:tc>
          <w:tcPr>
            <w:tcW w:type="dxa" w:w="1080"/>
          </w:tcPr>
          <w:p>
            <w:r>
              <w:rPr>
                <w:sz w:val="17"/>
              </w:rPr>
            </w:r>
            <w:r>
              <w:rPr>
                <w:sz w:val="17"/>
              </w:rPr>
              <w:t>2012–2016</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Quadrant 4 System</w:t>
            </w:r>
          </w:p>
        </w:tc>
        <w:tc>
          <w:tcPr>
            <w:tcW w:type="dxa" w:w="1080"/>
          </w:tcPr>
          <w:p>
            <w:r>
              <w:rPr>
                <w:sz w:val="17"/>
              </w:rPr>
            </w:r>
            <w:r>
              <w:rPr>
                <w:sz w:val="17"/>
              </w:rPr>
              <w:t>3669</w:t>
            </w:r>
          </w:p>
        </w:tc>
        <w:tc>
          <w:tcPr>
            <w:tcW w:type="dxa" w:w="1080"/>
          </w:tcPr>
          <w:p>
            <w:r>
              <w:rPr>
                <w:sz w:val="17"/>
              </w:rPr>
            </w:r>
            <w:r>
              <w:rPr>
                <w:sz w:val="17"/>
              </w:rPr>
              <w:t>misappropriation</w:t>
            </w:r>
          </w:p>
        </w:tc>
        <w:tc>
          <w:tcPr>
            <w:tcW w:type="dxa" w:w="1080"/>
          </w:tcPr>
          <w:p>
            <w:r>
              <w:rPr>
                <w:sz w:val="17"/>
              </w:rPr>
            </w:r>
            <w:r>
              <w:rPr>
                <w:sz w:val="17"/>
              </w:rPr>
              <w:t>2016-09-23</w:t>
            </w:r>
          </w:p>
        </w:tc>
        <w:tc>
          <w:tcPr>
            <w:tcW w:type="dxa" w:w="1080"/>
          </w:tcPr>
          <w:p>
            <w:r>
              <w:rPr>
                <w:sz w:val="17"/>
              </w:rPr>
            </w:r>
            <w:r>
              <w:rPr>
                <w:sz w:val="17"/>
              </w:rPr>
              <w:t>medium</w:t>
            </w:r>
          </w:p>
        </w:tc>
        <w:tc>
          <w:tcPr>
            <w:tcW w:type="dxa" w:w="1080"/>
          </w:tcPr>
          <w:p>
            <w:r>
              <w:rPr>
                <w:sz w:val="17"/>
              </w:rPr>
            </w:r>
            <w:r>
              <w:rPr>
                <w:sz w:val="17"/>
              </w:rPr>
              <w:t>2011–2015</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Provectus Biopharmaceuticals</w:t>
            </w:r>
          </w:p>
        </w:tc>
        <w:tc>
          <w:tcPr>
            <w:tcW w:type="dxa" w:w="1080"/>
          </w:tcPr>
          <w:p>
            <w:r>
              <w:rPr>
                <w:sz w:val="17"/>
              </w:rPr>
            </w:r>
            <w:r>
              <w:rPr>
                <w:sz w:val="17"/>
              </w:rPr>
              <w:t>2834</w:t>
            </w:r>
          </w:p>
        </w:tc>
        <w:tc>
          <w:tcPr>
            <w:tcW w:type="dxa" w:w="1080"/>
          </w:tcPr>
          <w:p>
            <w:r>
              <w:rPr>
                <w:sz w:val="17"/>
              </w:rPr>
            </w:r>
            <w:r>
              <w:rPr>
                <w:sz w:val="17"/>
              </w:rPr>
              <w:t>misappropriation</w:t>
            </w:r>
          </w:p>
        </w:tc>
        <w:tc>
          <w:tcPr>
            <w:tcW w:type="dxa" w:w="1080"/>
          </w:tcPr>
          <w:p>
            <w:r>
              <w:rPr>
                <w:sz w:val="17"/>
              </w:rPr>
            </w:r>
            <w:r>
              <w:rPr>
                <w:sz w:val="17"/>
              </w:rPr>
              <w:t>2016-02-29</w:t>
            </w:r>
          </w:p>
        </w:tc>
        <w:tc>
          <w:tcPr>
            <w:tcW w:type="dxa" w:w="1080"/>
          </w:tcPr>
          <w:p>
            <w:r>
              <w:rPr>
                <w:sz w:val="17"/>
              </w:rPr>
            </w:r>
            <w:r>
              <w:rPr>
                <w:sz w:val="17"/>
              </w:rPr>
              <w:t>medium</w:t>
            </w:r>
          </w:p>
        </w:tc>
        <w:tc>
          <w:tcPr>
            <w:tcW w:type="dxa" w:w="1080"/>
          </w:tcPr>
          <w:p>
            <w:r>
              <w:rPr>
                <w:sz w:val="17"/>
              </w:rPr>
            </w:r>
            <w:r>
              <w:rPr>
                <w:sz w:val="17"/>
              </w:rPr>
              <w:t>2011–2015</w:t>
            </w:r>
          </w:p>
        </w:tc>
        <w:tc>
          <w:tcPr>
            <w:tcW w:type="dxa" w:w="1080"/>
          </w:tcPr>
          <w:p>
            <w:r>
              <w:rPr>
                <w:sz w:val="17"/>
              </w:rPr>
            </w:r>
            <w:r>
              <w:rPr>
                <w:sz w:val="17"/>
              </w:rPr>
              <w:t>5</w:t>
            </w:r>
          </w:p>
        </w:tc>
        <w:tc>
          <w:tcPr>
            <w:tcW w:type="dxa" w:w="1080"/>
          </w:tcPr>
          <w:p>
            <w:r>
              <w:rPr>
                <w:sz w:val="17"/>
              </w:rPr>
            </w:r>
            <w:r>
              <w:rPr>
                <w:sz w:val="17"/>
              </w:rPr>
              <w:t>—</w:t>
            </w:r>
          </w:p>
        </w:tc>
      </w:tr>
      <w:tr>
        <w:tc>
          <w:tcPr>
            <w:tcW w:type="dxa" w:w="1080"/>
          </w:tcPr>
          <w:p>
            <w:r>
              <w:rPr>
                <w:sz w:val="17"/>
              </w:rPr>
            </w:r>
            <w:r>
              <w:rPr>
                <w:sz w:val="17"/>
              </w:rPr>
              <w:t>Corporate Resource Services</w:t>
            </w:r>
          </w:p>
        </w:tc>
        <w:tc>
          <w:tcPr>
            <w:tcW w:type="dxa" w:w="1080"/>
          </w:tcPr>
          <w:p>
            <w:r>
              <w:rPr>
                <w:sz w:val="17"/>
              </w:rPr>
            </w:r>
            <w:r>
              <w:rPr>
                <w:sz w:val="17"/>
              </w:rPr>
              <w:t>7363</w:t>
            </w:r>
          </w:p>
        </w:tc>
        <w:tc>
          <w:tcPr>
            <w:tcW w:type="dxa" w:w="1080"/>
          </w:tcPr>
          <w:p>
            <w:r>
              <w:rPr>
                <w:sz w:val="17"/>
              </w:rPr>
            </w:r>
            <w:r>
              <w:rPr>
                <w:sz w:val="17"/>
              </w:rPr>
              <w:t>misstatement</w:t>
            </w:r>
          </w:p>
        </w:tc>
        <w:tc>
          <w:tcPr>
            <w:tcW w:type="dxa" w:w="1080"/>
          </w:tcPr>
          <w:p>
            <w:r>
              <w:rPr>
                <w:sz w:val="17"/>
              </w:rPr>
            </w:r>
            <w:r>
              <w:rPr>
                <w:sz w:val="17"/>
              </w:rPr>
              <w:t>2015-02-10</w:t>
            </w:r>
          </w:p>
        </w:tc>
        <w:tc>
          <w:tcPr>
            <w:tcW w:type="dxa" w:w="1080"/>
          </w:tcPr>
          <w:p>
            <w:r>
              <w:rPr>
                <w:sz w:val="17"/>
              </w:rPr>
            </w:r>
            <w:r>
              <w:rPr>
                <w:sz w:val="17"/>
              </w:rPr>
              <w:t>medium</w:t>
            </w:r>
          </w:p>
        </w:tc>
        <w:tc>
          <w:tcPr>
            <w:tcW w:type="dxa" w:w="1080"/>
          </w:tcPr>
          <w:p>
            <w:r>
              <w:rPr>
                <w:sz w:val="17"/>
              </w:rPr>
            </w:r>
            <w:r>
              <w:rPr>
                <w:sz w:val="17"/>
              </w:rPr>
              <w:t>2010–2014</w:t>
            </w:r>
          </w:p>
        </w:tc>
        <w:tc>
          <w:tcPr>
            <w:tcW w:type="dxa" w:w="1080"/>
          </w:tcPr>
          <w:p>
            <w:r>
              <w:rPr>
                <w:sz w:val="17"/>
              </w:rPr>
            </w:r>
            <w:r>
              <w:rPr>
                <w:sz w:val="17"/>
              </w:rPr>
              <w:t>4</w:t>
            </w:r>
          </w:p>
        </w:tc>
        <w:tc>
          <w:tcPr>
            <w:tcW w:type="dxa" w:w="1080"/>
          </w:tcPr>
          <w:p>
            <w:r>
              <w:rPr>
                <w:sz w:val="17"/>
              </w:rPr>
            </w:r>
            <w:r>
              <w:rPr>
                <w:sz w:val="17"/>
              </w:rPr>
              <w:t>AAER-4007</w:t>
            </w:r>
          </w:p>
        </w:tc>
      </w:tr>
      <w:tr>
        <w:tc>
          <w:tcPr>
            <w:tcW w:type="dxa" w:w="1080"/>
          </w:tcPr>
          <w:p>
            <w:r>
              <w:rPr>
                <w:sz w:val="17"/>
              </w:rPr>
            </w:r>
            <w:r>
              <w:rPr>
                <w:sz w:val="17"/>
              </w:rPr>
              <w:t>Premier Holding Corp</w:t>
            </w:r>
          </w:p>
        </w:tc>
        <w:tc>
          <w:tcPr>
            <w:tcW w:type="dxa" w:w="1080"/>
          </w:tcPr>
          <w:p>
            <w:r>
              <w:rPr>
                <w:sz w:val="17"/>
              </w:rPr>
            </w:r>
            <w:r>
              <w:rPr>
                <w:sz w:val="17"/>
              </w:rPr>
              <w:t>4911</w:t>
            </w:r>
          </w:p>
        </w:tc>
        <w:tc>
          <w:tcPr>
            <w:tcW w:type="dxa" w:w="1080"/>
          </w:tcPr>
          <w:p>
            <w:r>
              <w:rPr>
                <w:sz w:val="17"/>
              </w:rPr>
            </w:r>
            <w:r>
              <w:rPr>
                <w:sz w:val="17"/>
              </w:rPr>
              <w:t>misstatement</w:t>
            </w:r>
          </w:p>
        </w:tc>
        <w:tc>
          <w:tcPr>
            <w:tcW w:type="dxa" w:w="1080"/>
          </w:tcPr>
          <w:p>
            <w:r>
              <w:rPr>
                <w:sz w:val="17"/>
              </w:rPr>
            </w:r>
            <w:r>
              <w:rPr>
                <w:sz w:val="17"/>
              </w:rPr>
              <w:t>2017-12-04</w:t>
            </w:r>
          </w:p>
        </w:tc>
        <w:tc>
          <w:tcPr>
            <w:tcW w:type="dxa" w:w="1080"/>
          </w:tcPr>
          <w:p>
            <w:r>
              <w:rPr>
                <w:sz w:val="17"/>
              </w:rPr>
            </w:r>
            <w:r>
              <w:rPr>
                <w:sz w:val="17"/>
              </w:rPr>
              <w:t>low</w:t>
            </w:r>
          </w:p>
        </w:tc>
        <w:tc>
          <w:tcPr>
            <w:tcW w:type="dxa" w:w="1080"/>
          </w:tcPr>
          <w:p>
            <w:r>
              <w:rPr>
                <w:sz w:val="17"/>
              </w:rPr>
            </w:r>
            <w:r>
              <w:rPr>
                <w:sz w:val="17"/>
              </w:rPr>
              <w:t>2012–2016</w:t>
            </w:r>
          </w:p>
        </w:tc>
        <w:tc>
          <w:tcPr>
            <w:tcW w:type="dxa" w:w="1080"/>
          </w:tcPr>
          <w:p>
            <w:r>
              <w:rPr>
                <w:sz w:val="17"/>
              </w:rPr>
            </w:r>
            <w:r>
              <w:rPr>
                <w:sz w:val="17"/>
              </w:rPr>
              <w:t>5</w:t>
            </w:r>
          </w:p>
        </w:tc>
        <w:tc>
          <w:tcPr>
            <w:tcW w:type="dxa" w:w="1080"/>
          </w:tcPr>
          <w:p>
            <w:r>
              <w:rPr>
                <w:sz w:val="17"/>
              </w:rPr>
            </w:r>
            <w:r>
              <w:rPr>
                <w:sz w:val="17"/>
              </w:rPr>
              <w:t>— (LR-24000)</w:t>
            </w:r>
          </w:p>
        </w:tc>
      </w:tr>
    </w:tbl>
    <w:p/>
    <w:p>
      <w:pPr>
        <w:jc w:val="left"/>
      </w:pPr>
      <w:r>
        <w:t>Eleven of the 21 are small or micro-cap issuers, three are Chinese reverse mergers (Puda, China Valves, Singularity's predecessor), two are financials (Eagle, Ocwen), one is a non-traded REIT (UDF IV). That spread is a strength for generalisation but a weakness for peer matching (Section 4).</w:t>
      </w:r>
    </w:p>
    <w:p>
      <w:pPr>
        <w:pStyle w:val="Heading3"/>
      </w:pPr>
      <w:r>
        <w:t>3.2 Disclosure-only stratum (9)</w:t>
      </w:r>
    </w:p>
    <w:p>
      <w:pPr>
        <w:jc w:val="left"/>
      </w:pPr>
      <w:r>
        <w:t>Skechers (2024, high), American Electric Power (2020, medium), RCI Hospitality (2020, low), Greenbrier (2023, high), Energy XXI (2016, medium), Maximus (2023, high), Shift4 (2025, high), First Bancorp NC (2015, high), American Equity (2010, high). These are kept out of the primary test (the dependent construct is misstatement or misappropriation) and analysed as a second stratum: the hypothesis there is weaker — a disclosure failure need not leave a trace in the financial layer — and the thesis should say so.</w:t>
      </w:r>
    </w:p>
    <w:p>
      <w:pPr>
        <w:pStyle w:val="Heading2"/>
      </w:pPr>
      <w:r>
        <w:t>4. Peer matching outcome</w:t>
      </w:r>
    </w:p>
    <w:p>
      <w:pPr>
        <w:jc w:val="left"/>
      </w:pPr>
      <w:r>
        <w:t>140 peers, all EDGAR-verified (10-K on file for the window years). Per case: minimum 3, median 5, maximum 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Match level</w:t>
            </w:r>
          </w:p>
        </w:tc>
        <w:tc>
          <w:tcPr>
            <w:tcW w:type="dxa" w:w="2880"/>
          </w:tcPr>
          <w:p>
            <w:r>
              <w:rPr>
                <w:b/>
                <w:sz w:val="17"/>
              </w:rPr>
            </w:r>
            <w:r>
              <w:rPr>
                <w:b/>
                <w:sz w:val="17"/>
              </w:rPr>
              <w:t>Peers</w:t>
            </w:r>
          </w:p>
        </w:tc>
        <w:tc>
          <w:tcPr>
            <w:tcW w:type="dxa" w:w="2880"/>
          </w:tcPr>
          <w:p>
            <w:r>
              <w:rPr>
                <w:b/>
                <w:sz w:val="17"/>
              </w:rPr>
            </w:r>
            <w:r>
              <w:rPr>
                <w:b/>
                <w:sz w:val="17"/>
              </w:rPr>
              <w:t>Cases</w:t>
            </w:r>
          </w:p>
        </w:tc>
      </w:tr>
      <w:tr>
        <w:tc>
          <w:tcPr>
            <w:tcW w:type="dxa" w:w="2880"/>
          </w:tcPr>
          <w:p>
            <w:r>
              <w:rPr>
                <w:sz w:val="17"/>
              </w:rPr>
            </w:r>
            <w:r>
              <w:rPr>
                <w:sz w:val="17"/>
              </w:rPr>
              <w:t>4-digit SIC</w:t>
            </w:r>
          </w:p>
        </w:tc>
        <w:tc>
          <w:tcPr>
            <w:tcW w:type="dxa" w:w="2880"/>
          </w:tcPr>
          <w:p>
            <w:r>
              <w:rPr>
                <w:sz w:val="17"/>
              </w:rPr>
            </w:r>
            <w:r>
              <w:rPr>
                <w:sz w:val="17"/>
              </w:rPr>
              <w:t>123</w:t>
            </w:r>
          </w:p>
        </w:tc>
        <w:tc>
          <w:tcPr>
            <w:tcW w:type="dxa" w:w="2880"/>
          </w:tcPr>
          <w:p>
            <w:r>
              <w:rPr>
                <w:sz w:val="17"/>
              </w:rPr>
            </w:r>
            <w:r>
              <w:rPr>
                <w:sz w:val="17"/>
              </w:rPr>
              <w:t>26</w:t>
            </w:r>
          </w:p>
        </w:tc>
      </w:tr>
      <w:tr>
        <w:tc>
          <w:tcPr>
            <w:tcW w:type="dxa" w:w="2880"/>
          </w:tcPr>
          <w:p>
            <w:r>
              <w:rPr>
                <w:sz w:val="17"/>
              </w:rPr>
            </w:r>
            <w:r>
              <w:rPr>
                <w:sz w:val="17"/>
              </w:rPr>
              <w:t>3-digit SIC</w:t>
            </w:r>
          </w:p>
        </w:tc>
        <w:tc>
          <w:tcPr>
            <w:tcW w:type="dxa" w:w="2880"/>
          </w:tcPr>
          <w:p>
            <w:r>
              <w:rPr>
                <w:sz w:val="17"/>
              </w:rPr>
            </w:r>
            <w:r>
              <w:rPr>
                <w:sz w:val="17"/>
              </w:rPr>
              <w:t>5</w:t>
            </w:r>
          </w:p>
        </w:tc>
        <w:tc>
          <w:tcPr>
            <w:tcW w:type="dxa" w:w="2880"/>
          </w:tcPr>
          <w:p>
            <w:r>
              <w:rPr>
                <w:sz w:val="17"/>
              </w:rPr>
            </w:r>
            <w:r>
              <w:rPr>
                <w:sz w:val="17"/>
              </w:rPr>
              <w:t>General Employment</w:t>
            </w:r>
          </w:p>
        </w:tc>
      </w:tr>
      <w:tr>
        <w:tc>
          <w:tcPr>
            <w:tcW w:type="dxa" w:w="2880"/>
          </w:tcPr>
          <w:p>
            <w:r>
              <w:rPr>
                <w:sz w:val="17"/>
              </w:rPr>
            </w:r>
            <w:r>
              <w:rPr>
                <w:sz w:val="17"/>
              </w:rPr>
              <w:t>2-digit SIC</w:t>
            </w:r>
          </w:p>
        </w:tc>
        <w:tc>
          <w:tcPr>
            <w:tcW w:type="dxa" w:w="2880"/>
          </w:tcPr>
          <w:p>
            <w:r>
              <w:rPr>
                <w:sz w:val="17"/>
              </w:rPr>
            </w:r>
            <w:r>
              <w:rPr>
                <w:sz w:val="17"/>
              </w:rPr>
              <w:t>12</w:t>
            </w:r>
          </w:p>
        </w:tc>
        <w:tc>
          <w:tcPr>
            <w:tcW w:type="dxa" w:w="2880"/>
          </w:tcPr>
          <w:p>
            <w:r>
              <w:rPr>
                <w:sz w:val="17"/>
              </w:rPr>
            </w:r>
            <w:r>
              <w:rPr>
                <w:sz w:val="17"/>
              </w:rPr>
              <w:t>Ocwen, Skechers, Greenbrier</w:t>
            </w:r>
          </w:p>
        </w:tc>
      </w:tr>
    </w:tbl>
    <w:p/>
    <w:p>
      <w:pPr>
        <w:jc w:val="left"/>
      </w:pPr>
      <w:r>
        <w:t>Size match: median absolute gap in log total assets 0.40 (a factor of 1.5), interquartile range 0.07–0.91. Three clusters are poorly size-matched and must be flagged in the thesis: Ocwen (mean gap 5.4 log points — the mortgage-servicing SIC has almost no registrants of Ocwen's size), Energy XXI (3.8) and Singularity (2.8). A robustness run without these three clusters is pre-specified in the closure plan.</w:t>
      </w:r>
    </w:p>
    <w:p>
      <w:pPr>
        <w:jc w:val="left"/>
      </w:pPr>
      <w:r>
        <w:t>Three cases have only three peers (Ocwen, MusclePharm, Puda Coal) because the industry pool with full 10-K coverage in the window is thin. Puda Coal's size anchor is hand-collected from its FY2010 10-K (XBRL did not cover it); American Equity's peers are anchored on 2011 assets because the XBRL frames begin in 2009 and its window is 2005–2009.</w:t>
      </w:r>
    </w:p>
    <w:p>
      <w:pPr>
        <w:pStyle w:val="Heading2"/>
      </w:pPr>
      <w:r>
        <w:t>5. What is provisional</w:t>
      </w:r>
    </w:p>
    <w:p>
      <w:pPr>
        <w:jc w:val="left"/>
      </w:pPr>
      <w:r>
        <w:t>Revelation dates among the 30 cases: 15 high, 9 medium, 6 low confidence. The low-confidence rows use the SEC action date as a placeholder and may move earlier by one to three years once an earlier disclosure (SEC inquiry, audit-committee review) is found in the firm's 8-K/10-Q text. Each would shift that case's window and could change which fiscal years are labelled 1. The verification list: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Firm</w:t>
            </w:r>
          </w:p>
        </w:tc>
        <w:tc>
          <w:tcPr>
            <w:tcW w:type="dxa" w:w="2880"/>
          </w:tcPr>
          <w:p>
            <w:r>
              <w:rPr>
                <w:b/>
                <w:sz w:val="17"/>
              </w:rPr>
            </w:r>
            <w:r>
              <w:rPr>
                <w:b/>
                <w:sz w:val="17"/>
              </w:rPr>
              <w:t>Confidence</w:t>
            </w:r>
          </w:p>
        </w:tc>
        <w:tc>
          <w:tcPr>
            <w:tcW w:type="dxa" w:w="2880"/>
          </w:tcPr>
          <w:p>
            <w:r>
              <w:rPr>
                <w:b/>
                <w:sz w:val="17"/>
              </w:rPr>
            </w:r>
            <w:r>
              <w:rPr>
                <w:b/>
                <w:sz w:val="17"/>
              </w:rPr>
              <w:t>What to check</w:t>
            </w:r>
          </w:p>
        </w:tc>
      </w:tr>
      <w:tr>
        <w:tc>
          <w:tcPr>
            <w:tcW w:type="dxa" w:w="2880"/>
          </w:tcPr>
          <w:p>
            <w:r>
              <w:rPr>
                <w:sz w:val="17"/>
              </w:rPr>
            </w:r>
            <w:r>
              <w:rPr>
                <w:sz w:val="17"/>
              </w:rPr>
              <w:t>Co-Diagnostics</w:t>
            </w:r>
          </w:p>
        </w:tc>
        <w:tc>
          <w:tcPr>
            <w:tcW w:type="dxa" w:w="2880"/>
          </w:tcPr>
          <w:p>
            <w:r>
              <w:rPr>
                <w:sz w:val="17"/>
              </w:rPr>
            </w:r>
            <w:r>
              <w:rPr>
                <w:sz w:val="17"/>
              </w:rPr>
              <w:t>low</w:t>
            </w:r>
          </w:p>
        </w:tc>
        <w:tc>
          <w:tcPr>
            <w:tcW w:type="dxa" w:w="2880"/>
          </w:tcPr>
          <w:p>
            <w:r>
              <w:rPr>
                <w:sz w:val="17"/>
              </w:rPr>
            </w:r>
            <w:r>
              <w:rPr>
                <w:sz w:val="17"/>
              </w:rPr>
              <w:t>8-K/10-Q 2021–2023 for an SEC-inquiry disclosure</w:t>
            </w:r>
          </w:p>
        </w:tc>
      </w:tr>
      <w:tr>
        <w:tc>
          <w:tcPr>
            <w:tcW w:type="dxa" w:w="2880"/>
          </w:tcPr>
          <w:p>
            <w:r>
              <w:rPr>
                <w:sz w:val="17"/>
              </w:rPr>
            </w:r>
            <w:r>
              <w:rPr>
                <w:sz w:val="17"/>
              </w:rPr>
              <w:t>General Employment</w:t>
            </w:r>
          </w:p>
        </w:tc>
        <w:tc>
          <w:tcPr>
            <w:tcW w:type="dxa" w:w="2880"/>
          </w:tcPr>
          <w:p>
            <w:r>
              <w:rPr>
                <w:sz w:val="17"/>
              </w:rPr>
            </w:r>
            <w:r>
              <w:rPr>
                <w:sz w:val="17"/>
              </w:rPr>
              <w:t>low</w:t>
            </w:r>
          </w:p>
        </w:tc>
        <w:tc>
          <w:tcPr>
            <w:tcW w:type="dxa" w:w="2880"/>
          </w:tcPr>
          <w:p>
            <w:r>
              <w:rPr>
                <w:sz w:val="17"/>
              </w:rPr>
            </w:r>
            <w:r>
              <w:rPr>
                <w:sz w:val="17"/>
              </w:rPr>
              <w:t>2011–2014 filings for an SEC-inquiry disclosure</w:t>
            </w:r>
          </w:p>
        </w:tc>
      </w:tr>
      <w:tr>
        <w:tc>
          <w:tcPr>
            <w:tcW w:type="dxa" w:w="2880"/>
          </w:tcPr>
          <w:p>
            <w:r>
              <w:rPr>
                <w:sz w:val="17"/>
              </w:rPr>
            </w:r>
            <w:r>
              <w:rPr>
                <w:sz w:val="17"/>
              </w:rPr>
              <w:t>FAT Brands</w:t>
            </w:r>
          </w:p>
        </w:tc>
        <w:tc>
          <w:tcPr>
            <w:tcW w:type="dxa" w:w="2880"/>
          </w:tcPr>
          <w:p>
            <w:r>
              <w:rPr>
                <w:sz w:val="17"/>
              </w:rPr>
            </w:r>
            <w:r>
              <w:rPr>
                <w:sz w:val="17"/>
              </w:rPr>
              <w:t>low</w:t>
            </w:r>
          </w:p>
        </w:tc>
        <w:tc>
          <w:tcPr>
            <w:tcW w:type="dxa" w:w="2880"/>
          </w:tcPr>
          <w:p>
            <w:r>
              <w:rPr>
                <w:sz w:val="17"/>
              </w:rPr>
            </w:r>
            <w:r>
              <w:rPr>
                <w:sz w:val="17"/>
              </w:rPr>
              <w:t>2021–2023 10-Q/10-K for the DOJ/SEC investigation disclosure</w:t>
            </w:r>
          </w:p>
        </w:tc>
      </w:tr>
      <w:tr>
        <w:tc>
          <w:tcPr>
            <w:tcW w:type="dxa" w:w="2880"/>
          </w:tcPr>
          <w:p>
            <w:r>
              <w:rPr>
                <w:sz w:val="17"/>
              </w:rPr>
            </w:r>
            <w:r>
              <w:rPr>
                <w:sz w:val="17"/>
              </w:rPr>
              <w:t>Premier Holding</w:t>
            </w:r>
          </w:p>
        </w:tc>
        <w:tc>
          <w:tcPr>
            <w:tcW w:type="dxa" w:w="2880"/>
          </w:tcPr>
          <w:p>
            <w:r>
              <w:rPr>
                <w:sz w:val="17"/>
              </w:rPr>
            </w:r>
            <w:r>
              <w:rPr>
                <w:sz w:val="17"/>
              </w:rPr>
              <w:t>low</w:t>
            </w:r>
          </w:p>
        </w:tc>
        <w:tc>
          <w:tcPr>
            <w:tcW w:type="dxa" w:w="2880"/>
          </w:tcPr>
          <w:p>
            <w:r>
              <w:rPr>
                <w:sz w:val="17"/>
              </w:rPr>
            </w:r>
            <w:r>
              <w:rPr>
                <w:sz w:val="17"/>
              </w:rPr>
              <w:t>2016–2017 8-Ks for an SEC-inquiry disclosure</w:t>
            </w:r>
          </w:p>
        </w:tc>
      </w:tr>
      <w:tr>
        <w:tc>
          <w:tcPr>
            <w:tcW w:type="dxa" w:w="2880"/>
          </w:tcPr>
          <w:p>
            <w:r>
              <w:rPr>
                <w:sz w:val="17"/>
              </w:rPr>
            </w:r>
            <w:r>
              <w:rPr>
                <w:sz w:val="17"/>
              </w:rPr>
              <w:t>RCI Hospitality (stratum 2)</w:t>
            </w:r>
          </w:p>
        </w:tc>
        <w:tc>
          <w:tcPr>
            <w:tcW w:type="dxa" w:w="2880"/>
          </w:tcPr>
          <w:p>
            <w:r>
              <w:rPr>
                <w:sz w:val="17"/>
              </w:rPr>
            </w:r>
            <w:r>
              <w:rPr>
                <w:sz w:val="17"/>
              </w:rPr>
              <w:t>low</w:t>
            </w:r>
          </w:p>
        </w:tc>
        <w:tc>
          <w:tcPr>
            <w:tcW w:type="dxa" w:w="2880"/>
          </w:tcPr>
          <w:p>
            <w:r>
              <w:rPr>
                <w:sz w:val="17"/>
              </w:rPr>
            </w:r>
            <w:r>
              <w:rPr>
                <w:sz w:val="17"/>
              </w:rPr>
              <w:t>2019 10-K/10-Q for the SEC subpoena</w:t>
            </w:r>
          </w:p>
        </w:tc>
      </w:tr>
      <w:tr>
        <w:tc>
          <w:tcPr>
            <w:tcW w:type="dxa" w:w="2880"/>
          </w:tcPr>
          <w:p>
            <w:r>
              <w:rPr>
                <w:sz w:val="17"/>
              </w:rPr>
            </w:r>
            <w:r>
              <w:rPr>
                <w:sz w:val="17"/>
              </w:rPr>
              <w:t>Ault Alliance</w:t>
            </w:r>
          </w:p>
        </w:tc>
        <w:tc>
          <w:tcPr>
            <w:tcW w:type="dxa" w:w="2880"/>
          </w:tcPr>
          <w:p>
            <w:r>
              <w:rPr>
                <w:sz w:val="17"/>
              </w:rPr>
            </w:r>
            <w:r>
              <w:rPr>
                <w:sz w:val="17"/>
              </w:rPr>
              <w:t>medium</w:t>
            </w:r>
          </w:p>
        </w:tc>
        <w:tc>
          <w:tcPr>
            <w:tcW w:type="dxa" w:w="2880"/>
          </w:tcPr>
          <w:p>
            <w:r>
              <w:rPr>
                <w:sz w:val="17"/>
              </w:rPr>
            </w:r>
            <w:r>
              <w:rPr>
                <w:sz w:val="17"/>
              </w:rPr>
              <w:t>FY2021 10-K for an earlier SEC-investigation disclosure</w:t>
            </w:r>
          </w:p>
        </w:tc>
      </w:tr>
      <w:tr>
        <w:tc>
          <w:tcPr>
            <w:tcW w:type="dxa" w:w="2880"/>
          </w:tcPr>
          <w:p>
            <w:r>
              <w:rPr>
                <w:sz w:val="17"/>
              </w:rPr>
            </w:r>
            <w:r>
              <w:rPr>
                <w:sz w:val="17"/>
              </w:rPr>
              <w:t>Eagle Bancorp, Valeant, Cemtrex, Provectus, SAExploration, Ideanomics, UDF IV, Puda Coal, AEP, Energy XXI, Ammo</w:t>
            </w:r>
          </w:p>
        </w:tc>
        <w:tc>
          <w:tcPr>
            <w:tcW w:type="dxa" w:w="2880"/>
          </w:tcPr>
          <w:p>
            <w:r>
              <w:rPr>
                <w:sz w:val="17"/>
              </w:rPr>
            </w:r>
            <w:r>
              <w:rPr>
                <w:sz w:val="17"/>
              </w:rPr>
              <w:t>medium</w:t>
            </w:r>
          </w:p>
        </w:tc>
        <w:tc>
          <w:tcPr>
            <w:tcW w:type="dxa" w:w="2880"/>
          </w:tcPr>
          <w:p>
            <w:r>
              <w:rPr>
                <w:sz w:val="17"/>
              </w:rPr>
            </w:r>
            <w:r>
              <w:rPr>
                <w:sz w:val="17"/>
              </w:rPr>
              <w:t xml:space="preserve">attach the source document (8-K accession, report URL, order number) already identified in </w:t>
            </w:r>
            <w:r>
              <w:rPr>
                <w:rFonts w:ascii="Consolas" w:hAnsi="Consolas"/>
                <w:sz w:val="17"/>
              </w:rPr>
              <w:t>phase_a_screen_v2.csv</w:t>
            </w:r>
          </w:p>
        </w:tc>
      </w:tr>
    </w:tbl>
    <w:p/>
    <w:p>
      <w:pPr>
        <w:jc w:val="left"/>
      </w:pPr>
      <w:r>
        <w:t>Two D1 confirmations remain open: Corporate Resource Services (was the issuer itself charged, or only Tri-State?) and Ammo (confirm the misstatement element in Order 33-11397). Both are in the core on the current reading of the complaints.</w:t>
      </w:r>
    </w:p>
    <w:p>
      <w:pPr>
        <w:jc w:val="left"/>
      </w:pPr>
      <w:r>
        <w:t>None of this blocks the data build: filings are collected for FY2004–2024 regardless of the window, so a corrected date only re-labels firm-years.</w:t>
      </w:r>
    </w:p>
    <w:p>
      <w:pPr>
        <w:pStyle w:val="Heading2"/>
      </w:pPr>
      <w:r>
        <w:t>6. Implications for the thesis and the paper</w:t>
      </w:r>
    </w:p>
    <w:p>
      <w:pPr>
        <w:pStyle w:val="ListBullet"/>
      </w:pPr>
      <w:r>
        <w:rPr>
          <w:b/>
        </w:rPr>
        <w:t>Sample size.</w:t>
      </w:r>
      <w:r>
        <w:t xml:space="preserve"> The design asked for 40 core cases; 21 exist under its own rules after an exhaustive search of every AAER (2005–2024) and litigation release (2010–2025). Section 12 of the design anticipated the shortfall. The thesis should restate power for 21 cases × 5 peers (about 105 case firm-years against 525 peer firm-years) and treat the 17-case sensitivity set (three-report rule) and the 13-case extended tier (pre-2005 windows; financial and text layers only) as robustness analyses, not as part of the confirmatory test.</w:t>
      </w:r>
    </w:p>
    <w:p>
      <w:pPr>
        <w:pStyle w:val="ListBullet"/>
      </w:pPr>
      <w:r>
        <w:rPr>
          <w:b/>
        </w:rPr>
        <w:t>Generalisation ("many more companies").</w:t>
      </w:r>
      <w:r>
        <w:t xml:space="preserve"> The way to test the model on many companies is not to add them as labelled cases — there are no more verified RPT cases — but to score the labelled-free EDGAR universe of the 33 industries (12,615 registrants; 4,611 with XBRL assets) and report the external alert rate at the 5 % clean-firm false-positive threshold (decision D10). That is the thesis's generalisation evidence and it is already supported by the universe files built in Phase A.</w:t>
      </w:r>
    </w:p>
    <w:p>
      <w:pPr>
        <w:pStyle w:val="ListBullet"/>
      </w:pPr>
      <w:r>
        <w:rPr>
          <w:b/>
        </w:rPr>
        <w:t>Heterogeneity.</w:t>
      </w:r>
      <w:r>
        <w:t xml:space="preserve"> With 21 cases across 18 industries, the within-cluster peer comparison is what makes the test meaningful; pooled cross-industry comparisons should not be the headline.</w:t>
      </w:r>
    </w:p>
    <w:p>
      <w:pPr>
        <w:pStyle w:val="ListBullet"/>
      </w:pPr>
      <w:r>
        <w:rPr>
          <w:b/>
        </w:rPr>
        <w:t>Disclosure-only stratum.</w:t>
      </w:r>
      <w:r>
        <w:t xml:space="preserve"> Report separately; do not merge into the core count.</w:t>
      </w:r>
    </w:p>
    <w:p>
      <w:pPr>
        <w:pStyle w:val="Heading2"/>
      </w:pPr>
      <w:r>
        <w:t>7. Readiness verdict</w:t>
      </w:r>
    </w:p>
    <w:p>
      <w:pPr>
        <w:jc w:val="left"/>
      </w:pPr>
      <w:r>
        <w:t>The candidate screen is complete and reproducible (</w:t>
      </w:r>
      <w:r>
        <w:rPr>
          <w:rFonts w:ascii="Consolas" w:hAnsi="Consolas"/>
          <w:sz w:val="18"/>
        </w:rPr>
        <w:t>scripts/phase_a2_revelation_dates.py</w:t>
      </w:r>
      <w:r>
        <w:t xml:space="preserve"> regenerates the screen; </w:t>
      </w:r>
      <w:r>
        <w:rPr>
          <w:rFonts w:ascii="Consolas" w:hAnsi="Consolas"/>
          <w:sz w:val="18"/>
        </w:rPr>
        <w:t>scripts/build_cases_core.py</w:t>
      </w:r>
      <w:r>
        <w:t xml:space="preserve"> and </w:t>
      </w:r>
      <w:r>
        <w:rPr>
          <w:rFonts w:ascii="Consolas" w:hAnsi="Consolas"/>
          <w:sz w:val="18"/>
        </w:rPr>
        <w:t>scripts/finalize_phase_a.py</w:t>
      </w:r>
      <w:r>
        <w:t xml:space="preserve"> regenerate the sample). The sample is fit to build the dataset and to run the confirmatory model. It is not yet fit to publish: the 6 low- and 9 medium-confidence revelation dates and the two open D1 confirmations must be closed, and the three poorly size-matched clusters must be carried as a documented limitation with a robustness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