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480" w:lineRule="atLeast"/>
      </w:pPr>
      <w:r>
        <w:rPr>
          <w:rFonts w:ascii="Times New Roman" w:eastAsia="SimSun"/>
          <w:b/>
          <w:bCs/>
          <w:color w:val="000000"/>
          <w:sz w:val="40"/>
          <w:szCs w:val="40"/>
        </w:rPr>
        <w:t xml:space="preserve">FINFAM RECRUITMENT PORTAL</w:t>
      </w:r>
    </w:p>
    <w:p>
      <w:pPr>
        <w:spacing w:after="200" w:line="340" w:lineRule="atLeast"/>
      </w:pPr>
      <w:r>
        <w:rPr>
          <w:rFonts w:ascii="Times New Roman" w:eastAsia="SimSun"/>
          <w:b/>
          <w:bCs/>
          <w:color w:val="555555"/>
          <w:sz w:val="28"/>
          <w:szCs w:val="28"/>
        </w:rPr>
        <w:t xml:space="preserve">Weekly Project Progress Report</w:t>
      </w:r>
    </w:p>
    <w:p>
      <w:pPr>
        <w:spacing w:after="40" w:line="312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Project: </w:t>
      </w:r>
      <w:r>
        <w:rPr>
          <w:rFonts w:ascii="Times New Roman" w:eastAsia="SimSun"/>
          <w:color w:val="000000"/>
          <w:sz w:val="24"/>
          <w:szCs w:val="24"/>
        </w:rPr>
        <w:t xml:space="preserve">FinFam Recruitment Portal MVP</w:t>
      </w:r>
    </w:p>
    <w:p>
      <w:pPr>
        <w:spacing w:after="40" w:line="312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Reporting Period: </w:t>
      </w:r>
      <w:r>
        <w:rPr>
          <w:rFonts w:ascii="Times New Roman" w:eastAsia="SimSun"/>
          <w:color w:val="000000"/>
          <w:sz w:val="24"/>
          <w:szCs w:val="24"/>
        </w:rPr>
        <w:t xml:space="preserve">Project Start – 14 September 2026</w:t>
      </w:r>
    </w:p>
    <w:p>
      <w:pPr>
        <w:spacing w:after="40" w:line="312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Current Position: </w:t>
      </w:r>
      <w:r>
        <w:rPr>
          <w:rFonts w:ascii="Times New Roman" w:eastAsia="SimSun"/>
          <w:color w:val="000000"/>
          <w:sz w:val="24"/>
          <w:szCs w:val="24"/>
        </w:rPr>
        <w:t xml:space="preserve">Stage 3 — Responsibility &amp; Reward Agreement</w:t>
      </w:r>
    </w:p>
    <w:p>
      <w:pPr>
        <w:spacing w:after="40" w:line="312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Status: </w:t>
      </w:r>
      <w:r>
        <w:rPr>
          <w:rFonts w:ascii="Times New Roman" w:eastAsia="SimSun"/>
          <w:color w:val="000000"/>
          <w:sz w:val="24"/>
          <w:szCs w:val="24"/>
        </w:rPr>
        <w:t xml:space="preserve">Architecture and Stages 1–3 implemented and verified; Stage 4 awaiting planning</w:t>
      </w:r>
    </w:p>
    <w:p>
      <w:pPr>
        <w:pBdr>
          <w:bottom w:val="single" w:color="BECFCC" w:sz="6" w:space="4"/>
        </w:pBdr>
        <w:spacing w:after="200" w:before="120" w:line="312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30" w:before="320" w:line="312"/>
      </w:pPr>
      <w:r>
        <w:rPr>
          <w:rFonts w:ascii="Times New Roman" w:eastAsia="SimSun"/>
          <w:b/>
          <w:bCs/>
          <w:color w:val="000000"/>
          <w:sz w:val="32"/>
          <w:szCs w:val="32"/>
        </w:rPr>
        <w:t xml:space="preserve">1. Project Overview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Development of the FinFam Recruitment Portal is focused on creating a structured, largely automated recruitment journey that takes a candidate from initial application through orientation, assessment, agreement, provisional appointment, activation, and onboarding.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The objective is to reduce manual intervention while ensuring that each recruitment stage is properly controlled, recorded, and auditable.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The recruitment journey is designed as 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one continuous application</w:t>
      </w:r>
      <w:r>
        <w:rPr>
          <w:rFonts w:ascii="Times New Roman" w:eastAsia="SimSun"/>
          <w:color w:val="000000"/>
          <w:sz w:val="24"/>
          <w:szCs w:val="24"/>
        </w:rPr>
        <w:t xml:space="preserve">, rather than a collection of independent pages or systems.</w:t>
      </w:r>
    </w:p>
    <w:p>
      <w:pPr>
        <w:pStyle w:val="Heading2"/>
        <w:keepNext/>
        <w:spacing w:after="100" w:before="220" w:line="312"/>
      </w:pPr>
      <w:r>
        <w:rPr>
          <w:rFonts w:ascii="Times New Roman" w:eastAsia="SimSun"/>
          <w:b/>
          <w:bCs/>
          <w:color w:val="000000"/>
          <w:sz w:val="26"/>
          <w:szCs w:val="26"/>
        </w:rPr>
        <w:t xml:space="preserve">Recruitment Journey</w:t>
      </w:r>
    </w:p>
    <w:p>
      <w:pPr>
        <w:spacing w:after="140" w:before="60" w:line="312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Application → FSOW Orientation → Automated Assessment → Responsibility &amp; Reward Agreement → Provisional Appointment → Staff Activation → Onboarding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The current implementation has progressed through the application, orientation, assessment, unified journey architecture, and agreement stages.</w:t>
      </w:r>
    </w:p>
    <w:p>
      <w:pPr>
        <w:pBdr>
          <w:bottom w:val="single" w:color="BECFCC" w:sz="6" w:space="4"/>
        </w:pBdr>
        <w:spacing w:after="200" w:before="120" w:line="312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30" w:before="320" w:line="312"/>
      </w:pPr>
      <w:r>
        <w:rPr>
          <w:rFonts w:ascii="Times New Roman" w:eastAsia="SimSun"/>
          <w:b/>
          <w:bCs/>
          <w:color w:val="000000"/>
          <w:sz w:val="32"/>
          <w:szCs w:val="32"/>
        </w:rPr>
        <w:t xml:space="preserve">2. Initial Project Scaffold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The project was first established with the technical and architectural foundation required for the recruitment portal.</w:t>
      </w:r>
    </w:p>
    <w:p>
      <w:pPr>
        <w:pStyle w:val="Heading2"/>
        <w:keepNext/>
        <w:spacing w:after="100" w:before="220" w:line="312"/>
      </w:pPr>
      <w:r>
        <w:rPr>
          <w:rFonts w:ascii="Times New Roman" w:eastAsia="SimSun"/>
          <w:b/>
          <w:bCs/>
          <w:color w:val="000000"/>
          <w:sz w:val="26"/>
          <w:szCs w:val="26"/>
        </w:rPr>
        <w:t xml:space="preserve">Technology Stack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Next.js 16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TypeScript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Next.js API Route Handlers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Prisma ORM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PostgreSQL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HeroUI v3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Tailwind CSS v4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Manrope typography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Zod validation</w:t>
      </w:r>
    </w:p>
    <w:p>
      <w:pPr>
        <w:pStyle w:val="Heading2"/>
        <w:keepNext/>
        <w:spacing w:after="100" w:before="220" w:line="312"/>
      </w:pPr>
      <w:r>
        <w:rPr>
          <w:rFonts w:ascii="Times New Roman" w:eastAsia="SimSun"/>
          <w:b/>
          <w:bCs/>
          <w:color w:val="000000"/>
          <w:sz w:val="26"/>
          <w:szCs w:val="26"/>
        </w:rPr>
        <w:t xml:space="preserve">Initial Architecture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A strict application architecture was established:</w:t>
      </w:r>
    </w:p>
    <w:p>
      <w:pPr>
        <w:spacing w:after="140" w:before="60" w:line="312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UI → API Route → Service → Prisma → PostgreSQL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This ensures that business rules are not implemented only in the frontend and that important recruitment decisions are enforced server-side.</w:t>
      </w:r>
    </w:p>
    <w:p>
      <w:pPr>
        <w:pStyle w:val="Heading2"/>
        <w:keepNext/>
        <w:spacing w:after="100" w:before="220" w:line="312"/>
      </w:pPr>
      <w:r>
        <w:rPr>
          <w:rFonts w:ascii="Times New Roman" w:eastAsia="SimSun"/>
          <w:b/>
          <w:bCs/>
          <w:color w:val="000000"/>
          <w:sz w:val="26"/>
          <w:szCs w:val="26"/>
        </w:rPr>
        <w:t xml:space="preserve">Initial Design System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A FinFam-specific design system was established around: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White and neutral surfaces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FinFam green </w:t>
      </w:r>
      <w:r>
        <w:rPr>
          <w:rFonts w:ascii="Courier New" w:eastAsia="SimSun"/>
          <w:color w:val="000000"/>
          <w:sz w:val="22"/>
          <w:szCs w:val="22"/>
        </w:rPr>
        <w:t xml:space="preserve">#0c7a43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Dark neutral typography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Manrope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Generous whitespace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Minimal borders and shadows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No gradients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No glassmorphism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No unnecessary decorative elements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Professional B2B/recruitment visual language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An explicit effort was made to prevent generic “AI-generated SaaS” design patterns.</w:t>
      </w:r>
    </w:p>
    <w:p>
      <w:pPr>
        <w:pStyle w:val="Heading2"/>
        <w:keepNext/>
        <w:spacing w:after="100" w:before="220" w:line="312"/>
      </w:pPr>
      <w:r>
        <w:rPr>
          <w:rFonts w:ascii="Times New Roman" w:eastAsia="SimSun"/>
          <w:b/>
          <w:bCs/>
          <w:color w:val="000000"/>
          <w:sz w:val="26"/>
          <w:szCs w:val="26"/>
        </w:rPr>
        <w:t xml:space="preserve">Database Foundation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The initial database architecture introduced: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Candidate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Application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CandidateStatus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StageEvent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The recruitment reference was established as the candidate's persistent identifier throughout the recruitment journey.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Example:</w:t>
      </w:r>
    </w:p>
    <w:p>
      <w:pPr>
        <w:spacing w:after="120" w:line="312"/>
        <w:jc w:val="both"/>
      </w:pPr>
      <w:r>
        <w:rPr>
          <w:rFonts w:ascii="Courier New" w:eastAsia="SimSun"/>
          <w:color w:val="000000"/>
          <w:sz w:val="22"/>
          <w:szCs w:val="22"/>
        </w:rPr>
        <w:t xml:space="preserve">FF-XXXXXX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The reference is generated once during application and remains associated with the candidate throughout the entire process.</w:t>
      </w:r>
    </w:p>
    <w:p>
      <w:pPr>
        <w:pBdr>
          <w:bottom w:val="single" w:color="BECFCC" w:sz="6" w:space="4"/>
        </w:pBdr>
        <w:spacing w:after="200" w:before="120" w:line="312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30" w:before="320" w:line="312"/>
      </w:pPr>
      <w:r>
        <w:rPr>
          <w:rFonts w:ascii="Times New Roman" w:eastAsia="SimSun"/>
          <w:b/>
          <w:bCs/>
          <w:color w:val="000000"/>
          <w:sz w:val="32"/>
          <w:szCs w:val="32"/>
        </w:rPr>
        <w:t xml:space="preserve">3. Application Stage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The initial application flow was implemented and verified.</w:t>
      </w:r>
    </w:p>
    <w:p>
      <w:pPr>
        <w:pStyle w:val="Heading2"/>
        <w:keepNext/>
        <w:spacing w:after="100" w:before="220" w:line="312"/>
      </w:pPr>
      <w:r>
        <w:rPr>
          <w:rFonts w:ascii="Times New Roman" w:eastAsia="SimSun"/>
          <w:b/>
          <w:bCs/>
          <w:color w:val="000000"/>
          <w:sz w:val="26"/>
          <w:szCs w:val="26"/>
        </w:rPr>
        <w:t xml:space="preserve">Candidate information collected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The initial MVP application collects: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Full name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Email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Phone number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City (optional)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Role selection (validated server-side against the open position)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Consent confirmation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The shared validation schema is authoritative and is re-run on the server for every submission, so the collected data set can be extended in later stages without changing the validation architecture.</w:t>
      </w:r>
    </w:p>
    <w:p>
      <w:pPr>
        <w:pStyle w:val="Heading2"/>
        <w:keepNext/>
        <w:spacing w:after="100" w:before="220" w:line="312"/>
      </w:pPr>
      <w:r>
        <w:rPr>
          <w:rFonts w:ascii="Times New Roman" w:eastAsia="SimSun"/>
          <w:b/>
          <w:bCs/>
          <w:color w:val="000000"/>
          <w:sz w:val="26"/>
          <w:szCs w:val="26"/>
        </w:rPr>
        <w:t xml:space="preserve">Application functionality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The application stage established: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Candidate creation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Recruitment reference generation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Server-side validation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Client-side validation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Duplicate email handling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API error conventions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Confirmation state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Reference display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Candidate status tracking</w:t>
      </w:r>
    </w:p>
    <w:p>
      <w:pPr>
        <w:pStyle w:val="Heading2"/>
        <w:keepNext/>
        <w:spacing w:after="100" w:before="220" w:line="312"/>
      </w:pPr>
      <w:r>
        <w:rPr>
          <w:rFonts w:ascii="Times New Roman" w:eastAsia="SimSun"/>
          <w:b/>
          <w:bCs/>
          <w:color w:val="000000"/>
          <w:sz w:val="26"/>
          <w:szCs w:val="26"/>
        </w:rPr>
        <w:t xml:space="preserve">Verification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The application flow was tested at: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375px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768px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1024px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1440px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Validation, duplicate records, reference generation, API responses, and responsive behaviour were verified.</w:t>
      </w:r>
    </w:p>
    <w:p>
      <w:pPr>
        <w:pBdr>
          <w:bottom w:val="single" w:color="BECFCC" w:sz="6" w:space="4"/>
        </w:pBdr>
        <w:spacing w:after="200" w:before="120" w:line="312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30" w:before="320" w:line="312"/>
      </w:pPr>
      <w:r>
        <w:rPr>
          <w:rFonts w:ascii="Times New Roman" w:eastAsia="SimSun"/>
          <w:b/>
          <w:bCs/>
          <w:color w:val="000000"/>
          <w:sz w:val="32"/>
          <w:szCs w:val="32"/>
        </w:rPr>
        <w:t xml:space="preserve">4. FSOW Orientation Stage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The second major feature stage introduced the 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FinFam Staff Orientation Workshop (FSOW)</w:t>
      </w:r>
      <w:r>
        <w:rPr>
          <w:rFonts w:ascii="Times New Roman" w:eastAsia="SimSun"/>
          <w:color w:val="000000"/>
          <w:sz w:val="24"/>
          <w:szCs w:val="24"/>
        </w:rPr>
        <w:t xml:space="preserve">.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A dedicated orientation system was implemented without creating a separate candidate/application identity.</w:t>
      </w:r>
    </w:p>
    <w:p>
      <w:pPr>
        <w:pStyle w:val="Heading2"/>
        <w:keepNext/>
        <w:spacing w:after="100" w:before="220" w:line="312"/>
      </w:pPr>
      <w:r>
        <w:rPr>
          <w:rFonts w:ascii="Times New Roman" w:eastAsia="SimSun"/>
          <w:b/>
          <w:bCs/>
          <w:color w:val="000000"/>
          <w:sz w:val="26"/>
          <w:szCs w:val="26"/>
        </w:rPr>
        <w:t xml:space="preserve">Orientation structure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The orientation contains eight sequential sections:</w:t>
      </w:r>
    </w:p>
    <w:p>
      <w:pPr>
        <w:pStyle w:val="ListParagraph"/>
        <w:numPr>
          <w:ilvl w:val="0"/>
          <w:numId w:val="2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About FinFam</w:t>
      </w:r>
    </w:p>
    <w:p>
      <w:pPr>
        <w:pStyle w:val="ListParagraph"/>
        <w:numPr>
          <w:ilvl w:val="0"/>
          <w:numId w:val="2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Products &amp; Services</w:t>
      </w:r>
    </w:p>
    <w:p>
      <w:pPr>
        <w:pStyle w:val="ListParagraph"/>
        <w:numPr>
          <w:ilvl w:val="0"/>
          <w:numId w:val="2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Your Role</w:t>
      </w:r>
    </w:p>
    <w:p>
      <w:pPr>
        <w:pStyle w:val="ListParagraph"/>
        <w:numPr>
          <w:ilvl w:val="0"/>
          <w:numId w:val="2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Support Package</w:t>
      </w:r>
    </w:p>
    <w:p>
      <w:pPr>
        <w:pStyle w:val="ListParagraph"/>
        <w:numPr>
          <w:ilvl w:val="0"/>
          <w:numId w:val="2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Reward Structure</w:t>
      </w:r>
    </w:p>
    <w:p>
      <w:pPr>
        <w:pStyle w:val="ListParagraph"/>
        <w:numPr>
          <w:ilvl w:val="0"/>
          <w:numId w:val="2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Professional Standards</w:t>
      </w:r>
    </w:p>
    <w:p>
      <w:pPr>
        <w:pStyle w:val="ListParagraph"/>
        <w:numPr>
          <w:ilvl w:val="0"/>
          <w:numId w:val="2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Monitoring &amp; Accountability</w:t>
      </w:r>
    </w:p>
    <w:p>
      <w:pPr>
        <w:pStyle w:val="ListParagraph"/>
        <w:numPr>
          <w:ilvl w:val="0"/>
          <w:numId w:val="2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Fraud &amp; Misrepresentation</w:t>
      </w:r>
    </w:p>
    <w:p>
      <w:pPr>
        <w:pStyle w:val="Heading2"/>
        <w:keepNext/>
        <w:spacing w:after="100" w:before="220" w:line="312"/>
      </w:pPr>
      <w:r>
        <w:rPr>
          <w:rFonts w:ascii="Times New Roman" w:eastAsia="SimSun"/>
          <w:b/>
          <w:bCs/>
          <w:color w:val="000000"/>
          <w:sz w:val="26"/>
          <w:szCs w:val="26"/>
        </w:rPr>
        <w:t xml:space="preserve">Key functionality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The orientation system supports: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Sequential section progression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Server-side section gating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Resume from the candidate's previous position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Section completion records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Explicit “Mark as read &amp; continue”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Completion acknowledgement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Orientation completion timestamp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Stage events</w:t>
      </w:r>
    </w:p>
    <w:p>
      <w:pPr>
        <w:pStyle w:val="Heading2"/>
        <w:keepNext/>
        <w:spacing w:after="100" w:before="220" w:line="312"/>
      </w:pPr>
      <w:r>
        <w:rPr>
          <w:rFonts w:ascii="Times New Roman" w:eastAsia="SimSun"/>
          <w:b/>
          <w:bCs/>
          <w:color w:val="000000"/>
          <w:sz w:val="26"/>
          <w:szCs w:val="26"/>
        </w:rPr>
        <w:t xml:space="preserve">State transitions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The system introduced controlled transitions including:</w:t>
      </w:r>
    </w:p>
    <w:p>
      <w:pPr>
        <w:spacing w:after="140" w:before="60" w:line="312"/>
      </w:pPr>
      <w:r>
        <w:rPr>
          <w:rFonts w:ascii="Courier New" w:eastAsia="SimSun"/>
          <w:b/>
          <w:bCs/>
          <w:color w:val="000000"/>
          <w:sz w:val="22"/>
          <w:szCs w:val="22"/>
        </w:rPr>
        <w:t xml:space="preserve">APPLICANT → ORIENTATION_PENDING → ORIENTATION_COMPLETED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Each important transition is recorded using the existing append-only StageEvent system.</w:t>
      </w:r>
    </w:p>
    <w:p>
      <w:pPr>
        <w:pStyle w:val="Heading2"/>
        <w:keepNext/>
        <w:spacing w:after="100" w:before="220" w:line="312"/>
      </w:pPr>
      <w:r>
        <w:rPr>
          <w:rFonts w:ascii="Times New Roman" w:eastAsia="SimSun"/>
          <w:b/>
          <w:bCs/>
          <w:color w:val="000000"/>
          <w:sz w:val="26"/>
          <w:szCs w:val="26"/>
        </w:rPr>
        <w:t xml:space="preserve">Important content decision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The supplied business materials contained conflicting information regarding the definition of an 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Established Member</w:t>
      </w:r>
      <w:r>
        <w:rPr>
          <w:rFonts w:ascii="Times New Roman" w:eastAsia="SimSun"/>
          <w:color w:val="000000"/>
          <w:sz w:val="24"/>
          <w:szCs w:val="24"/>
        </w:rPr>
        <w:t xml:space="preserve">, particularly around the savings threshold.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Rather than inventing a value, the issue was documented in:</w:t>
      </w:r>
    </w:p>
    <w:p>
      <w:pPr>
        <w:spacing w:after="120" w:line="312"/>
        <w:jc w:val="both"/>
      </w:pPr>
      <w:r>
        <w:rPr>
          <w:rFonts w:ascii="Courier New" w:eastAsia="SimSun"/>
          <w:color w:val="000000"/>
          <w:sz w:val="22"/>
          <w:szCs w:val="22"/>
        </w:rPr>
        <w:t xml:space="preserve">docs/CONTENT-QUESTIONS.md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The reward section therefore uses a pending-confirmation treatment where necessary.</w:t>
      </w:r>
    </w:p>
    <w:p>
      <w:pPr>
        <w:pStyle w:val="Heading2"/>
        <w:keepNext/>
        <w:spacing w:after="100" w:before="220" w:line="312"/>
      </w:pPr>
      <w:r>
        <w:rPr>
          <w:rFonts w:ascii="Times New Roman" w:eastAsia="SimSun"/>
          <w:b/>
          <w:bCs/>
          <w:color w:val="000000"/>
          <w:sz w:val="26"/>
          <w:szCs w:val="26"/>
        </w:rPr>
        <w:t xml:space="preserve">Verification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The orientation journey was tested for: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Fresh candidates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Returning candidates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Section gating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Resume functionality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Completion acknowledgement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Invalid references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Invalid sections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Duplicate completion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API errors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Responsive layouts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Keyboard accessibility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Console errors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Development log cleanliness</w:t>
      </w:r>
    </w:p>
    <w:p>
      <w:pPr>
        <w:pBdr>
          <w:bottom w:val="single" w:color="BECFCC" w:sz="6" w:space="4"/>
        </w:pBdr>
        <w:spacing w:after="200" w:before="120" w:line="312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30" w:before="320" w:line="312"/>
      </w:pPr>
      <w:r>
        <w:rPr>
          <w:rFonts w:ascii="Times New Roman" w:eastAsia="SimSun"/>
          <w:b/>
          <w:bCs/>
          <w:color w:val="000000"/>
          <w:sz w:val="32"/>
          <w:szCs w:val="32"/>
        </w:rPr>
        <w:t xml:space="preserve">5. Automated Assessment Stage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The next feature stage introduced the automated recruitment assessment.</w:t>
      </w:r>
    </w:p>
    <w:p>
      <w:pPr>
        <w:pStyle w:val="Heading2"/>
        <w:keepNext/>
        <w:spacing w:after="100" w:before="220" w:line="312"/>
      </w:pPr>
      <w:r>
        <w:rPr>
          <w:rFonts w:ascii="Times New Roman" w:eastAsia="SimSun"/>
          <w:b/>
          <w:bCs/>
          <w:color w:val="000000"/>
          <w:sz w:val="26"/>
          <w:szCs w:val="26"/>
        </w:rPr>
        <w:t xml:space="preserve">Assessment structure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The assessment consists of: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30 multiple-choice questions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4 options per question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5 marks per question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150 total marks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70% pass mark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21/30 required to pass</w:t>
      </w:r>
    </w:p>
    <w:p>
      <w:pPr>
        <w:pStyle w:val="Heading2"/>
        <w:keepNext/>
        <w:spacing w:after="100" w:before="220" w:line="312"/>
      </w:pPr>
      <w:r>
        <w:rPr>
          <w:rFonts w:ascii="Times New Roman" w:eastAsia="SimSun"/>
          <w:b/>
          <w:bCs/>
          <w:color w:val="000000"/>
          <w:sz w:val="26"/>
          <w:szCs w:val="26"/>
        </w:rPr>
        <w:t xml:space="preserve">Assessment functionality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Implemented features include: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Assessment eligibility gating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Attempt creation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Question ordering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One-question-at-a-time interface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Previous/Next navigation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Question progress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Answer persistence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Optimistic autosave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Saved-state indicator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Retry handling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Question navigation rail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Submission confirmation modal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Automatic scoring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Persistent result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Pass/fail status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Retake support</w:t>
      </w:r>
    </w:p>
    <w:p>
      <w:pPr>
        <w:pStyle w:val="Heading2"/>
        <w:keepNext/>
        <w:spacing w:after="100" w:before="220" w:line="312"/>
      </w:pPr>
      <w:r>
        <w:rPr>
          <w:rFonts w:ascii="Times New Roman" w:eastAsia="SimSun"/>
          <w:b/>
          <w:bCs/>
          <w:color w:val="000000"/>
          <w:sz w:val="26"/>
          <w:szCs w:val="26"/>
        </w:rPr>
        <w:t xml:space="preserve">Security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A significant security measure was implemented around assessment content.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Correct answers and insights are kept server-side and are not exposed to the client.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The generated application bundles were inspected to verify that: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ourier New" w:eastAsia="SimSun"/>
          <w:color w:val="000000"/>
          <w:sz w:val="22"/>
          <w:szCs w:val="22"/>
        </w:rPr>
        <w:t xml:space="preserve">correctIndex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answer keys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assessment insights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were not exposed to client-side code.</w:t>
      </w:r>
    </w:p>
    <w:p>
      <w:pPr>
        <w:pStyle w:val="Heading2"/>
        <w:keepNext/>
        <w:spacing w:after="100" w:before="220" w:line="312"/>
      </w:pPr>
      <w:r>
        <w:rPr>
          <w:rFonts w:ascii="Times New Roman" w:eastAsia="SimSun"/>
          <w:b/>
          <w:bCs/>
          <w:color w:val="000000"/>
          <w:sz w:val="26"/>
          <w:szCs w:val="26"/>
        </w:rPr>
        <w:t xml:space="preserve">Assessment state transitions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The assessment introduced:</w:t>
      </w:r>
    </w:p>
    <w:p>
      <w:pPr>
        <w:spacing w:after="140" w:before="60" w:line="312"/>
      </w:pPr>
      <w:r>
        <w:rPr>
          <w:rFonts w:ascii="Courier New" w:eastAsia="SimSun"/>
          <w:b/>
          <w:bCs/>
          <w:color w:val="000000"/>
          <w:sz w:val="22"/>
          <w:szCs w:val="22"/>
        </w:rPr>
        <w:t xml:space="preserve">ORIENTATION_COMPLETED → ASSESSMENT_PENDING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Then:</w:t>
      </w:r>
    </w:p>
    <w:p>
      <w:pPr>
        <w:spacing w:after="140" w:before="60" w:line="312"/>
      </w:pPr>
      <w:r>
        <w:rPr>
          <w:rFonts w:ascii="Courier New" w:eastAsia="SimSun"/>
          <w:b/>
          <w:bCs/>
          <w:color w:val="000000"/>
          <w:sz w:val="22"/>
          <w:szCs w:val="22"/>
        </w:rPr>
        <w:t xml:space="preserve">ASSESSMENT_PENDING → ASSESSMENT_PASSED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or:</w:t>
      </w:r>
    </w:p>
    <w:p>
      <w:pPr>
        <w:spacing w:after="140" w:before="60" w:line="312"/>
      </w:pPr>
      <w:r>
        <w:rPr>
          <w:rFonts w:ascii="Courier New" w:eastAsia="SimSun"/>
          <w:b/>
          <w:bCs/>
          <w:color w:val="000000"/>
          <w:sz w:val="22"/>
          <w:szCs w:val="22"/>
        </w:rPr>
        <w:t xml:space="preserve">ASSESSMENT_PENDING → ASSESSMENT_FAILED</w:t>
      </w:r>
    </w:p>
    <w:p>
      <w:pPr>
        <w:pStyle w:val="Heading2"/>
        <w:keepNext/>
        <w:spacing w:after="100" w:before="220" w:line="312"/>
      </w:pPr>
      <w:r>
        <w:rPr>
          <w:rFonts w:ascii="Times New Roman" w:eastAsia="SimSun"/>
          <w:b/>
          <w:bCs/>
          <w:color w:val="000000"/>
          <w:sz w:val="26"/>
          <w:szCs w:val="26"/>
        </w:rPr>
        <w:t xml:space="preserve">Testing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The following cases were verified: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Unknown candidate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Assessment before orientation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Invalid question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Invalid answer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Resume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Duplicate start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All-correct result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Exact 70% pass result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Failed result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Unanswered questions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Duplicate submission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Retake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Answers after submission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Start after passing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A precise 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21/30 = 70%</w:t>
      </w:r>
      <w:r>
        <w:rPr>
          <w:rFonts w:ascii="Times New Roman" w:eastAsia="SimSun"/>
          <w:color w:val="000000"/>
          <w:sz w:val="24"/>
          <w:szCs w:val="24"/>
        </w:rPr>
        <w:t xml:space="preserve"> pass case was also verified.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Responsive testing was completed at: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375px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768px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1024px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1440px</w:t>
      </w:r>
    </w:p>
    <w:p>
      <w:pPr>
        <w:pBdr>
          <w:bottom w:val="single" w:color="BECFCC" w:sz="6" w:space="4"/>
        </w:pBdr>
        <w:spacing w:after="200" w:before="120" w:line="312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30" w:before="320" w:line="312"/>
      </w:pPr>
      <w:r>
        <w:rPr>
          <w:rFonts w:ascii="Times New Roman" w:eastAsia="SimSun"/>
          <w:b/>
          <w:bCs/>
          <w:color w:val="000000"/>
          <w:sz w:val="32"/>
          <w:szCs w:val="32"/>
        </w:rPr>
        <w:t xml:space="preserve">6. Architecture Correction — Unified Recruitment Journey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During development, an important architectural issue was identified.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Initially, Application, Orientation, and Assessment could appear to users as separate modules.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This was corrected before continuing to later stages.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The portal was redesigned conceptually as:</w:t>
      </w:r>
    </w:p>
    <w:p>
      <w:pPr>
        <w:pBdr>
          <w:left w:val="single" w:color="0c7a43" w:sz="12" w:space="12"/>
        </w:pBdr>
        <w:spacing w:after="160" w:before="80" w:line="312"/>
        <w:ind w:left="480" w:right="480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One recruitment application progressing through controlled stages.</w:t>
      </w:r>
    </w:p>
    <w:p>
      <w:pPr>
        <w:pStyle w:val="Heading2"/>
        <w:keepNext/>
        <w:spacing w:after="100" w:before="220" w:line="312"/>
      </w:pPr>
      <w:r>
        <w:rPr>
          <w:rFonts w:ascii="Times New Roman" w:eastAsia="SimSun"/>
          <w:b/>
          <w:bCs/>
          <w:color w:val="000000"/>
          <w:sz w:val="26"/>
          <w:szCs w:val="26"/>
        </w:rPr>
        <w:t xml:space="preserve">Core architectural decisions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The portal now has: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One Candidate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One Application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One recruitment reference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One status/state machine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One unified journey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Server-driven stage resolution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The candidate does not select which stage to enter.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Instead, the system determines the candidate's current stage from persisted recruitment state.</w:t>
      </w:r>
    </w:p>
    <w:p>
      <w:pPr>
        <w:pBdr>
          <w:bottom w:val="single" w:color="BECFCC" w:sz="6" w:space="4"/>
        </w:pBdr>
        <w:spacing w:after="200" w:before="120" w:line="312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30" w:before="320" w:line="312"/>
      </w:pPr>
      <w:r>
        <w:rPr>
          <w:rFonts w:ascii="Times New Roman" w:eastAsia="SimSun"/>
          <w:b/>
          <w:bCs/>
          <w:color w:val="000000"/>
          <w:sz w:val="32"/>
          <w:szCs w:val="32"/>
        </w:rPr>
        <w:t xml:space="preserve">7. Centralized Recruitment Journey Service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A centralized service was introduced:</w:t>
      </w:r>
    </w:p>
    <w:p>
      <w:pPr>
        <w:spacing w:after="120" w:line="312"/>
        <w:jc w:val="both"/>
      </w:pPr>
      <w:r>
        <w:rPr>
          <w:rFonts w:ascii="Courier New" w:eastAsia="SimSun"/>
          <w:color w:val="000000"/>
          <w:sz w:val="22"/>
          <w:szCs w:val="22"/>
        </w:rPr>
        <w:t xml:space="preserve">src/server/services/journey.ts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with:</w:t>
      </w:r>
    </w:p>
    <w:p>
      <w:pPr>
        <w:spacing w:after="120" w:line="312"/>
        <w:jc w:val="both"/>
      </w:pPr>
      <w:r>
        <w:rPr>
          <w:rFonts w:ascii="Courier New" w:eastAsia="SimSun"/>
          <w:color w:val="000000"/>
          <w:sz w:val="22"/>
          <w:szCs w:val="22"/>
        </w:rPr>
        <w:t xml:space="preserve">getRecruitmentJourney(reference)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This service derives: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Current stage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Completed stages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Locked stages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Next action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Resume information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Assessment result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Stage history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Coming-next information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This prevents the frontend from independently deciding which stage a candidate should access.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The server remains the authoritative source of recruitment progression.</w:t>
      </w:r>
    </w:p>
    <w:p>
      <w:pPr>
        <w:pBdr>
          <w:bottom w:val="single" w:color="BECFCC" w:sz="6" w:space="4"/>
        </w:pBdr>
        <w:spacing w:after="200" w:before="120" w:line="312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30" w:before="320" w:line="312"/>
      </w:pPr>
      <w:r>
        <w:rPr>
          <w:rFonts w:ascii="Times New Roman" w:eastAsia="SimSun"/>
          <w:b/>
          <w:bCs/>
          <w:color w:val="000000"/>
          <w:sz w:val="32"/>
          <w:szCs w:val="32"/>
        </w:rPr>
        <w:t xml:space="preserve">8. Unified Candidate Access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A dedicated 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Continue Application</w:t>
      </w:r>
      <w:r>
        <w:rPr>
          <w:rFonts w:ascii="Times New Roman" w:eastAsia="SimSun"/>
          <w:color w:val="000000"/>
          <w:sz w:val="24"/>
          <w:szCs w:val="24"/>
        </w:rPr>
        <w:t xml:space="preserve"> experience was introduced.</w:t>
      </w:r>
    </w:p>
    <w:p>
      <w:pPr>
        <w:pStyle w:val="Heading2"/>
        <w:keepNext/>
        <w:spacing w:after="100" w:before="220" w:line="312"/>
      </w:pPr>
      <w:r>
        <w:rPr>
          <w:rFonts w:ascii="Times New Roman" w:eastAsia="SimSun"/>
          <w:b/>
          <w:bCs/>
          <w:color w:val="000000"/>
          <w:sz w:val="26"/>
          <w:szCs w:val="26"/>
        </w:rPr>
        <w:t xml:space="preserve">Returning candidate flow</w:t>
      </w:r>
    </w:p>
    <w:p>
      <w:pPr>
        <w:spacing w:after="140" w:before="60" w:line="312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Landing page → Continue Application → Reference → Unified Journey → Current Stage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The candidate no longer needs to enter their reference separately on: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Orientation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Assessment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Future stages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Duplicate reference forms were removed.</w:t>
      </w:r>
    </w:p>
    <w:p>
      <w:pPr>
        <w:pStyle w:val="Heading2"/>
        <w:keepNext/>
        <w:spacing w:after="100" w:before="220" w:line="312"/>
      </w:pPr>
      <w:r>
        <w:rPr>
          <w:rFonts w:ascii="Times New Roman" w:eastAsia="SimSun"/>
          <w:b/>
          <w:bCs/>
          <w:color w:val="000000"/>
          <w:sz w:val="26"/>
          <w:szCs w:val="26"/>
        </w:rPr>
        <w:t xml:space="preserve">Reference recovery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A recovery flow was also introduced:</w:t>
      </w:r>
    </w:p>
    <w:p>
      <w:pPr>
        <w:spacing w:after="120" w:line="312"/>
        <w:jc w:val="both"/>
      </w:pPr>
      <w:r>
        <w:rPr>
          <w:rFonts w:ascii="Courier New" w:eastAsia="SimSun"/>
          <w:color w:val="000000"/>
          <w:sz w:val="22"/>
          <w:szCs w:val="22"/>
        </w:rPr>
        <w:t xml:space="preserve">/continue/recover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The candidate provides: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Name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Email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Phone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All three must match before the recruitment reference is revealed.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Invalid attempts return the same neutral response to reduce account/reference enumeration.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The security limitation of using the reference as a lookup key was documented for future review.</w:t>
      </w:r>
    </w:p>
    <w:p>
      <w:pPr>
        <w:pBdr>
          <w:bottom w:val="single" w:color="BECFCC" w:sz="6" w:space="4"/>
        </w:pBdr>
        <w:spacing w:after="200" w:before="120" w:line="312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30" w:before="320" w:line="312"/>
      </w:pPr>
      <w:r>
        <w:rPr>
          <w:rFonts w:ascii="Times New Roman" w:eastAsia="SimSun"/>
          <w:b/>
          <w:bCs/>
          <w:color w:val="000000"/>
          <w:sz w:val="32"/>
          <w:szCs w:val="32"/>
        </w:rPr>
        <w:t xml:space="preserve">9. Unified Application Journey Page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A central journey page was introduced:</w:t>
      </w:r>
    </w:p>
    <w:p>
      <w:pPr>
        <w:spacing w:after="120" w:line="312"/>
        <w:jc w:val="both"/>
      </w:pPr>
      <w:r>
        <w:rPr>
          <w:rFonts w:ascii="Courier New" w:eastAsia="SimSun"/>
          <w:color w:val="000000"/>
          <w:sz w:val="22"/>
          <w:szCs w:val="22"/>
        </w:rPr>
        <w:t xml:space="preserve">/application/[reference]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It communicates: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Current recruitment stage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Completed stages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Locked stages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Current next action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Resume progress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Stage history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Coming-next information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The journey uses a single primary CTA based on the candidate's current stage.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For example:</w:t>
      </w:r>
    </w:p>
    <w:p>
      <w:pPr>
        <w:pBdr>
          <w:left w:val="single" w:color="0c7a43" w:sz="12" w:space="12"/>
        </w:pBdr>
        <w:spacing w:after="160" w:before="80" w:line="312"/>
        <w:ind w:left="480" w:right="480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Your application is currently at: Assessment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or, after passing:</w:t>
      </w:r>
    </w:p>
    <w:p>
      <w:pPr>
        <w:pBdr>
          <w:left w:val="single" w:color="0c7a43" w:sz="12" w:space="12"/>
        </w:pBdr>
        <w:spacing w:after="160" w:before="80" w:line="312"/>
        <w:ind w:left="480" w:right="480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Your application is currently at: Agreement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The journey progress indicator is informational and is 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not a navigation menu</w:t>
      </w:r>
      <w:r>
        <w:rPr>
          <w:rFonts w:ascii="Times New Roman" w:eastAsia="SimSun"/>
          <w:color w:val="000000"/>
          <w:sz w:val="24"/>
          <w:szCs w:val="24"/>
        </w:rPr>
        <w:t xml:space="preserve">.</w:t>
      </w:r>
    </w:p>
    <w:p>
      <w:pPr>
        <w:pBdr>
          <w:bottom w:val="single" w:color="BECFCC" w:sz="6" w:space="4"/>
        </w:pBdr>
        <w:spacing w:after="200" w:before="120" w:line="312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30" w:before="320" w:line="312"/>
      </w:pPr>
      <w:r>
        <w:rPr>
          <w:rFonts w:ascii="Times New Roman" w:eastAsia="SimSun"/>
          <w:b/>
          <w:bCs/>
          <w:color w:val="000000"/>
          <w:sz w:val="32"/>
          <w:szCs w:val="32"/>
        </w:rPr>
        <w:t xml:space="preserve">10. Stage Access and One-Way Progression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Server-side guards were implemented to ensure that candidates cannot bypass the recruitment sequence.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For example: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A candidate who has not completed orientation cannot directly access assessment.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A candidate who has not passed assessment cannot access the agreement.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A completed stage cannot be reopened as an active workflow.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Direct URLs cannot bypass eligibility.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Browser back navigation cannot reopen a completed workflow.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The browser may return to a previous page, but the server remains authoritative.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This establishes a proper one-way recruitment progression.</w:t>
      </w:r>
    </w:p>
    <w:p>
      <w:pPr>
        <w:pBdr>
          <w:bottom w:val="single" w:color="BECFCC" w:sz="6" w:space="4"/>
        </w:pBdr>
        <w:spacing w:after="200" w:before="120" w:line="312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30" w:before="320" w:line="312"/>
      </w:pPr>
      <w:r>
        <w:rPr>
          <w:rFonts w:ascii="Times New Roman" w:eastAsia="SimSun"/>
          <w:b/>
          <w:bCs/>
          <w:color w:val="000000"/>
          <w:sz w:val="32"/>
          <w:szCs w:val="32"/>
        </w:rPr>
        <w:t xml:space="preserve">11. Navigation Simplification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The main navigation was reduced to focus on the actual recruitment experience: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Open Roles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How It Works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Continue Application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Separate navigation items for: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Application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Orientation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Assessment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Agreement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Appointment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Activation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Onboarding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were intentionally removed.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These are stages of one recruitment journey, not separate products or modules.</w:t>
      </w:r>
    </w:p>
    <w:p>
      <w:pPr>
        <w:pBdr>
          <w:bottom w:val="single" w:color="BECFCC" w:sz="6" w:space="4"/>
        </w:pBdr>
        <w:spacing w:after="200" w:before="120" w:line="312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30" w:before="320" w:line="312"/>
      </w:pPr>
      <w:r>
        <w:rPr>
          <w:rFonts w:ascii="Times New Roman" w:eastAsia="SimSun"/>
          <w:b/>
          <w:bCs/>
          <w:color w:val="000000"/>
          <w:sz w:val="32"/>
          <w:szCs w:val="32"/>
        </w:rPr>
        <w:t xml:space="preserve">12. Responsive and Accessibility Improvements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Responsive behaviour was treated as a layout-composition requirement rather than simply shrinking the mobile interface.</w:t>
      </w:r>
    </w:p>
    <w:p>
      <w:pPr>
        <w:pStyle w:val="Heading2"/>
        <w:keepNext/>
        <w:spacing w:after="100" w:before="220" w:line="312"/>
      </w:pPr>
      <w:r>
        <w:rPr>
          <w:rFonts w:ascii="Times New Roman" w:eastAsia="SimSun"/>
          <w:b/>
          <w:bCs/>
          <w:color w:val="000000"/>
          <w:sz w:val="26"/>
          <w:szCs w:val="26"/>
        </w:rPr>
        <w:t xml:space="preserve">Mobile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A single-column layout is used where appropriate.</w:t>
      </w:r>
    </w:p>
    <w:p>
      <w:pPr>
        <w:pStyle w:val="Heading2"/>
        <w:keepNext/>
        <w:spacing w:after="100" w:before="220" w:line="312"/>
      </w:pPr>
      <w:r>
        <w:rPr>
          <w:rFonts w:ascii="Times New Roman" w:eastAsia="SimSun"/>
          <w:b/>
          <w:bCs/>
          <w:color w:val="000000"/>
          <w:sz w:val="26"/>
          <w:szCs w:val="26"/>
        </w:rPr>
        <w:t xml:space="preserve">Tablet/Desktop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Meaningful two-column compositions are used when the content hierarchy supports them.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The application was tested at: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375px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768px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1024px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1440px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Verification included: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No horizontal overflow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Appropriate spacing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Desktop/tablet recomposition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Footer behaviour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Keyboard navigation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Visible focus states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Accessible controls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Screen-reader-friendly states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No console errors</w:t>
      </w:r>
    </w:p>
    <w:p>
      <w:pPr>
        <w:pBdr>
          <w:bottom w:val="single" w:color="BECFCC" w:sz="6" w:space="4"/>
        </w:pBdr>
        <w:spacing w:after="200" w:before="120" w:line="312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30" w:before="320" w:line="312"/>
      </w:pPr>
      <w:r>
        <w:rPr>
          <w:rFonts w:ascii="Times New Roman" w:eastAsia="SimSun"/>
          <w:b/>
          <w:bCs/>
          <w:color w:val="000000"/>
          <w:sz w:val="32"/>
          <w:szCs w:val="32"/>
        </w:rPr>
        <w:t xml:space="preserve">13. Stage 3 — Responsibility &amp; Reward Agreement Planning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Following completion of the unified journey architecture, Stage 3 planning was carried out.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The planned stage is:</w:t>
      </w:r>
    </w:p>
    <w:p>
      <w:pPr>
        <w:spacing w:after="140" w:before="60" w:line="312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Assessment Passed → Responsibility &amp; Reward Agreement → Provisional Appointment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The planning inspection confirmed that the existing database already contains: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ourier New" w:eastAsia="SimSun"/>
          <w:color w:val="000000"/>
          <w:sz w:val="22"/>
          <w:szCs w:val="22"/>
        </w:rPr>
        <w:t xml:space="preserve">OFFER_PENDING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ourier New" w:eastAsia="SimSun"/>
          <w:color w:val="000000"/>
          <w:sz w:val="22"/>
          <w:szCs w:val="22"/>
        </w:rPr>
        <w:t xml:space="preserve">OFFER_ACCEPTED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ourier New" w:eastAsia="SimSun"/>
          <w:color w:val="000000"/>
          <w:sz w:val="22"/>
          <w:szCs w:val="22"/>
        </w:rPr>
        <w:t xml:space="preserve">OFFER_DECLINED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ourier New" w:eastAsia="SimSun"/>
          <w:color w:val="000000"/>
          <w:sz w:val="22"/>
          <w:szCs w:val="22"/>
        </w:rPr>
        <w:t xml:space="preserve">OFFER</w:t>
      </w:r>
      <w:r>
        <w:rPr>
          <w:rFonts w:ascii="Times New Roman" w:eastAsia="SimSun"/>
          <w:color w:val="000000"/>
          <w:sz w:val="24"/>
          <w:szCs w:val="24"/>
        </w:rPr>
        <w:t xml:space="preserve"> recruitment stage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Therefore, it was determined that a new </w:t>
      </w:r>
      <w:r>
        <w:rPr>
          <w:rFonts w:ascii="Courier New" w:eastAsia="SimSun"/>
          <w:color w:val="000000"/>
          <w:sz w:val="22"/>
          <w:szCs w:val="22"/>
        </w:rPr>
        <w:t xml:space="preserve">AGREEMENT</w:t>
      </w:r>
      <w:r>
        <w:rPr>
          <w:rFonts w:ascii="Times New Roman" w:eastAsia="SimSun"/>
          <w:color w:val="000000"/>
          <w:sz w:val="24"/>
          <w:szCs w:val="24"/>
        </w:rPr>
        <w:t xml:space="preserve"> enum/state should 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not</w:t>
      </w:r>
      <w:r>
        <w:rPr>
          <w:rFonts w:ascii="Times New Roman" w:eastAsia="SimSun"/>
          <w:color w:val="000000"/>
          <w:sz w:val="24"/>
          <w:szCs w:val="24"/>
        </w:rPr>
        <w:t xml:space="preserve"> be introduced.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Instead:</w:t>
      </w:r>
    </w:p>
    <w:p>
      <w:pPr>
        <w:pBdr>
          <w:left w:val="single" w:color="0c7a43" w:sz="12" w:space="12"/>
        </w:pBdr>
        <w:spacing w:after="160" w:before="80" w:line="312"/>
        <w:ind w:left="480" w:right="480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Internal </w:t>
      </w:r>
      <w:r>
        <w:rPr>
          <w:rFonts w:ascii="Courier New" w:eastAsia="SimSun"/>
          <w:b/>
          <w:bCs/>
          <w:color w:val="000000"/>
          <w:sz w:val="22"/>
          <w:szCs w:val="22"/>
        </w:rPr>
        <w:t xml:space="preserve">OFFER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 stage = candidate-facing Agreement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This avoids unnecessary database migrations and duplicate architecture.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Planning was approved with one explicit scope adjustment: the implementation would be 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accept-only</w:t>
      </w:r>
      <w:r>
        <w:rPr>
          <w:rFonts w:ascii="Times New Roman" w:eastAsia="SimSun"/>
          <w:color w:val="000000"/>
          <w:sz w:val="24"/>
          <w:szCs w:val="24"/>
        </w:rPr>
        <w:t xml:space="preserve"> — no decline column, no decline API, and no decline interface — keeping the database clean until the decline policy is formally confirmed.</w:t>
      </w:r>
    </w:p>
    <w:p>
      <w:pPr>
        <w:pBdr>
          <w:bottom w:val="single" w:color="BECFCC" w:sz="6" w:space="4"/>
        </w:pBdr>
        <w:spacing w:after="200" w:before="120" w:line="312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30" w:before="320" w:line="312"/>
      </w:pPr>
      <w:r>
        <w:rPr>
          <w:rFonts w:ascii="Times New Roman" w:eastAsia="SimSun"/>
          <w:b/>
          <w:bCs/>
          <w:color w:val="000000"/>
          <w:sz w:val="32"/>
          <w:szCs w:val="32"/>
        </w:rPr>
        <w:t xml:space="preserve">14. Stage 3 Agreement Functionality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The agreement allows candidates who have passed the assessment to review a versioned agreement document containing seven sections:</w:t>
      </w:r>
    </w:p>
    <w:p>
      <w:pPr>
        <w:pStyle w:val="ListParagraph"/>
        <w:numPr>
          <w:ilvl w:val="0"/>
          <w:numId w:val="3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Your Role</w:t>
      </w:r>
    </w:p>
    <w:p>
      <w:pPr>
        <w:pStyle w:val="ListParagraph"/>
        <w:numPr>
          <w:ilvl w:val="0"/>
          <w:numId w:val="3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Responsibilities</w:t>
      </w:r>
    </w:p>
    <w:p>
      <w:pPr>
        <w:pStyle w:val="ListParagraph"/>
        <w:numPr>
          <w:ilvl w:val="0"/>
          <w:numId w:val="3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Support Package</w:t>
      </w:r>
    </w:p>
    <w:p>
      <w:pPr>
        <w:pStyle w:val="ListParagraph"/>
        <w:numPr>
          <w:ilvl w:val="0"/>
          <w:numId w:val="3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Reward Structure</w:t>
      </w:r>
    </w:p>
    <w:p>
      <w:pPr>
        <w:pStyle w:val="ListParagraph"/>
        <w:numPr>
          <w:ilvl w:val="0"/>
          <w:numId w:val="3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Performance &amp; Accountability</w:t>
      </w:r>
    </w:p>
    <w:p>
      <w:pPr>
        <w:pStyle w:val="ListParagraph"/>
        <w:numPr>
          <w:ilvl w:val="0"/>
          <w:numId w:val="3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Professional Conduct</w:t>
      </w:r>
    </w:p>
    <w:p>
      <w:pPr>
        <w:pStyle w:val="ListParagraph"/>
        <w:numPr>
          <w:ilvl w:val="0"/>
          <w:numId w:val="3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Policy Updates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The content was built strictly from the supplied business material. The reward section names the structure with a figures-pending treatment and encodes no amounts; the “Important Conditions” section was omitted until its wording is approved.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The candidate explicitly acknowledges the agreement (checkbox plus a confirmation modal) and selects:</w:t>
      </w:r>
    </w:p>
    <w:p>
      <w:pPr>
        <w:pBdr>
          <w:left w:val="single" w:color="0c7a43" w:sz="12" w:space="12"/>
        </w:pBdr>
        <w:spacing w:after="160" w:before="80" w:line="312"/>
        <w:ind w:left="480" w:right="480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Accept Agreement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Acceptance is recorded against a specific agreement version (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version 1.0</w:t>
      </w:r>
      <w:r>
        <w:rPr>
          <w:rFonts w:ascii="Times New Roman" w:eastAsia="SimSun"/>
          <w:color w:val="000000"/>
          <w:sz w:val="24"/>
          <w:szCs w:val="24"/>
        </w:rPr>
        <w:t xml:space="preserve">).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The implemented agreement model includes: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Candidate (one-to-one)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Agreement version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Acceptance timestamp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Append-only StageEvent audit records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The design supports future agreement versioning.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Viewing the agreement for the first time — on the page or via the API — also performs a lazy, idempotent stage entry: an assessment-passed candidate moves into the agreement-pending state with exactly one ENTERED event, safe against concurrent requests.</w:t>
      </w:r>
    </w:p>
    <w:p>
      <w:pPr>
        <w:pBdr>
          <w:bottom w:val="single" w:color="BECFCC" w:sz="6" w:space="4"/>
        </w:pBdr>
        <w:spacing w:after="200" w:before="120" w:line="312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30" w:before="320" w:line="312"/>
      </w:pPr>
      <w:r>
        <w:rPr>
          <w:rFonts w:ascii="Times New Roman" w:eastAsia="SimSun"/>
          <w:b/>
          <w:bCs/>
          <w:color w:val="000000"/>
          <w:sz w:val="32"/>
          <w:szCs w:val="32"/>
        </w:rPr>
        <w:t xml:space="preserve">15. Stage 3 Security and State Control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The agreement uses: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Server-side eligibility checks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Zod validation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Transactional state updates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Append-only StageEvents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Idempotent acceptance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Agreement version verification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The existing API envelope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The existing AppError conventions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The system ensures that:</w:t>
      </w:r>
    </w:p>
    <w:p>
      <w:pPr>
        <w:spacing w:after="140" w:before="60" w:line="312"/>
      </w:pPr>
      <w:r>
        <w:rPr>
          <w:rFonts w:ascii="Courier New" w:eastAsia="SimSun"/>
          <w:b/>
          <w:bCs/>
          <w:color w:val="000000"/>
          <w:sz w:val="22"/>
          <w:szCs w:val="22"/>
        </w:rPr>
        <w:t xml:space="preserve">ASSESSMENT_PASSED → OFFER_PENDING → OFFER_ACCEPTED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and that accepting an agreement cannot be repeated in a way that creates duplicate records or events.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Additional enforced behaviour: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Acceptance from any other recruitment stage is rejected with a conflict response.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Unknown references receive the same neutral not-found response as elsewhere in the portal.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After acceptance, the agreement address redirects back to the unified journey: browser back, direct URLs, and direct API calls cannot re-open or repeat the workflow.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The journey displays the agreement as completed and shows the appointment stage as an honest, locked placeholder with no fake links.</w:t>
      </w:r>
    </w:p>
    <w:p>
      <w:pPr>
        <w:pBdr>
          <w:bottom w:val="single" w:color="BECFCC" w:sz="6" w:space="4"/>
        </w:pBdr>
        <w:spacing w:after="200" w:before="120" w:line="312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30" w:before="320" w:line="312"/>
      </w:pPr>
      <w:r>
        <w:rPr>
          <w:rFonts w:ascii="Times New Roman" w:eastAsia="SimSun"/>
          <w:b/>
          <w:bCs/>
          <w:color w:val="000000"/>
          <w:sz w:val="32"/>
          <w:szCs w:val="32"/>
        </w:rPr>
        <w:t xml:space="preserve">16. Important Business Questions Identified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Several business decisions remain intentionally unresolved.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These have been documented rather than assumed.</w:t>
      </w:r>
    </w:p>
    <w:p>
      <w:pPr>
        <w:pStyle w:val="Heading2"/>
        <w:keepNext/>
        <w:spacing w:after="100" w:before="220" w:line="312"/>
      </w:pPr>
      <w:r>
        <w:rPr>
          <w:rFonts w:ascii="Times New Roman" w:eastAsia="SimSun"/>
          <w:b/>
          <w:bCs/>
          <w:color w:val="000000"/>
          <w:sz w:val="26"/>
          <w:szCs w:val="26"/>
        </w:rPr>
        <w:t xml:space="preserve">Reward structure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The supplied materials contain unresolved information around: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₦650 per Established Member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Target bonus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Established Member savings threshold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₦500 cashback claim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These figures require business confirmation before being presented as final agreement terms.</w:t>
      </w:r>
    </w:p>
    <w:p>
      <w:pPr>
        <w:pStyle w:val="Heading2"/>
        <w:keepNext/>
        <w:spacing w:after="100" w:before="220" w:line="312"/>
      </w:pPr>
      <w:r>
        <w:rPr>
          <w:rFonts w:ascii="Times New Roman" w:eastAsia="SimSun"/>
          <w:b/>
          <w:bCs/>
          <w:color w:val="000000"/>
          <w:sz w:val="26"/>
          <w:szCs w:val="26"/>
        </w:rPr>
        <w:t xml:space="preserve">Decline policy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It still needs to be confirmed: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Whether candidates can decline through the portal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Whether a decline can be reversed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Whether there is a response deadline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Stage 3 was therefore implemented on an 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accept-only</w:t>
      </w:r>
      <w:r>
        <w:rPr>
          <w:rFonts w:ascii="Times New Roman" w:eastAsia="SimSun"/>
          <w:color w:val="000000"/>
          <w:sz w:val="24"/>
          <w:szCs w:val="24"/>
        </w:rPr>
        <w:t xml:space="preserve"> basis. No decline column, endpoint, or interface exists; the schema remains clean until the policy is formally confirmed.</w:t>
      </w:r>
    </w:p>
    <w:p>
      <w:pPr>
        <w:pStyle w:val="Heading2"/>
        <w:keepNext/>
        <w:spacing w:after="100" w:before="220" w:line="312"/>
      </w:pPr>
      <w:r>
        <w:rPr>
          <w:rFonts w:ascii="Times New Roman" w:eastAsia="SimSun"/>
          <w:b/>
          <w:bCs/>
          <w:color w:val="000000"/>
          <w:sz w:val="26"/>
          <w:szCs w:val="26"/>
        </w:rPr>
        <w:t xml:space="preserve">Candidate identity/security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The existing reference-based access model should be reviewed before consequential actions such as agreement acceptance.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An additional verification mechanism such as OTP may be considered in a later security improvement.</w:t>
      </w:r>
    </w:p>
    <w:p>
      <w:pPr>
        <w:pStyle w:val="Heading2"/>
        <w:keepNext/>
        <w:spacing w:after="100" w:before="220" w:line="312"/>
      </w:pPr>
      <w:r>
        <w:rPr>
          <w:rFonts w:ascii="Times New Roman" w:eastAsia="SimSun"/>
          <w:b/>
          <w:bCs/>
          <w:color w:val="000000"/>
          <w:sz w:val="26"/>
          <w:szCs w:val="26"/>
        </w:rPr>
        <w:t xml:space="preserve">Agreement wording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The final wording of the agreement and acknowledgement statement requires business approval.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These issues have been documented in:</w:t>
      </w:r>
    </w:p>
    <w:p>
      <w:pPr>
        <w:spacing w:after="120" w:line="312"/>
        <w:jc w:val="both"/>
      </w:pPr>
      <w:r>
        <w:rPr>
          <w:rFonts w:ascii="Courier New" w:eastAsia="SimSun"/>
          <w:color w:val="000000"/>
          <w:sz w:val="22"/>
          <w:szCs w:val="22"/>
        </w:rPr>
        <w:t xml:space="preserve">docs/CONTENT-QUESTIONS.md</w:t>
      </w:r>
    </w:p>
    <w:p>
      <w:pPr>
        <w:pBdr>
          <w:bottom w:val="single" w:color="BECFCC" w:sz="6" w:space="4"/>
        </w:pBdr>
        <w:spacing w:after="200" w:before="120" w:line="312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30" w:before="320" w:line="312"/>
      </w:pPr>
      <w:r>
        <w:rPr>
          <w:rFonts w:ascii="Times New Roman" w:eastAsia="SimSun"/>
          <w:b/>
          <w:bCs/>
          <w:color w:val="000000"/>
          <w:sz w:val="32"/>
          <w:szCs w:val="32"/>
        </w:rPr>
        <w:t xml:space="preserve">17. Current Project Status</w:t>
      </w:r>
    </w:p>
    <w:tbl>
      <w:tblPr>
        <w:tblW w:type="pct" w:w="100%"/>
        <w:tblBorders>
          <w:top w:val="single" w:color="529286" w:sz="6"/>
          <w:left w:val="none" w:color="auto" w:sz="0"/>
          <w:bottom w:val="single" w:color="529286" w:sz="6"/>
          <w:right w:val="none" w:color="auto" w:sz="0"/>
          <w:insideH w:val="single" w:color="BECFCC" w:sz="2"/>
          <w:insideV w:val="none" w:color="auto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5%"/>
            <w:shd w:fill="52928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/>
                <w:bCs/>
                <w:color w:val="FFFFFF"/>
                <w:sz w:val="22"/>
                <w:szCs w:val="22"/>
              </w:rPr>
              <w:t xml:space="preserve">Area</w:t>
            </w:r>
          </w:p>
        </w:tc>
        <w:tc>
          <w:tcPr>
            <w:tcW w:type="pct" w:w="45%"/>
            <w:shd w:fill="52928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pct" w:w="55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2"/>
                <w:szCs w:val="22"/>
              </w:rPr>
              <w:t xml:space="preserve">Project scaffold</w:t>
            </w:r>
          </w:p>
        </w:tc>
        <w:tc>
          <w:tcPr>
            <w:tcW w:type="pct" w:w="45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2"/>
                <w:szCs w:val="22"/>
              </w:rPr>
              <w:t xml:space="preserve">✅ Complete</w:t>
            </w:r>
          </w:p>
        </w:tc>
      </w:tr>
      <w:tr>
        <w:trPr>
          <w:cantSplit/>
        </w:trPr>
        <w:tc>
          <w:tcPr>
            <w:tcW w:type="pct" w:w="55%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2"/>
                <w:szCs w:val="22"/>
              </w:rPr>
              <w:t xml:space="preserve">Database foundation</w:t>
            </w:r>
          </w:p>
        </w:tc>
        <w:tc>
          <w:tcPr>
            <w:tcW w:type="pct" w:w="45%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2"/>
                <w:szCs w:val="22"/>
              </w:rPr>
              <w:t xml:space="preserve">✅ Complete</w:t>
            </w:r>
          </w:p>
        </w:tc>
      </w:tr>
      <w:tr>
        <w:trPr>
          <w:cantSplit/>
        </w:trPr>
        <w:tc>
          <w:tcPr>
            <w:tcW w:type="pct" w:w="55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2"/>
                <w:szCs w:val="22"/>
              </w:rPr>
              <w:t xml:space="preserve">Application</w:t>
            </w:r>
          </w:p>
        </w:tc>
        <w:tc>
          <w:tcPr>
            <w:tcW w:type="pct" w:w="45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2"/>
                <w:szCs w:val="22"/>
              </w:rPr>
              <w:t xml:space="preserve">✅ Complete</w:t>
            </w:r>
          </w:p>
        </w:tc>
      </w:tr>
      <w:tr>
        <w:trPr>
          <w:cantSplit/>
        </w:trPr>
        <w:tc>
          <w:tcPr>
            <w:tcW w:type="pct" w:w="55%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2"/>
                <w:szCs w:val="22"/>
              </w:rPr>
              <w:t xml:space="preserve">FSOW Orientation</w:t>
            </w:r>
          </w:p>
        </w:tc>
        <w:tc>
          <w:tcPr>
            <w:tcW w:type="pct" w:w="45%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2"/>
                <w:szCs w:val="22"/>
              </w:rPr>
              <w:t xml:space="preserve">✅ Complete</w:t>
            </w:r>
          </w:p>
        </w:tc>
      </w:tr>
      <w:tr>
        <w:trPr>
          <w:cantSplit/>
        </w:trPr>
        <w:tc>
          <w:tcPr>
            <w:tcW w:type="pct" w:w="55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2"/>
                <w:szCs w:val="22"/>
              </w:rPr>
              <w:t xml:space="preserve">Automated Assessment</w:t>
            </w:r>
          </w:p>
        </w:tc>
        <w:tc>
          <w:tcPr>
            <w:tcW w:type="pct" w:w="45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2"/>
                <w:szCs w:val="22"/>
              </w:rPr>
              <w:t xml:space="preserve">✅ Complete</w:t>
            </w:r>
          </w:p>
        </w:tc>
      </w:tr>
      <w:tr>
        <w:trPr>
          <w:cantSplit/>
        </w:trPr>
        <w:tc>
          <w:tcPr>
            <w:tcW w:type="pct" w:w="55%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2"/>
                <w:szCs w:val="22"/>
              </w:rPr>
              <w:t xml:space="preserve">Unified Recruitment Journey</w:t>
            </w:r>
          </w:p>
        </w:tc>
        <w:tc>
          <w:tcPr>
            <w:tcW w:type="pct" w:w="45%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2"/>
                <w:szCs w:val="22"/>
              </w:rPr>
              <w:t xml:space="preserve">✅ Complete</w:t>
            </w:r>
          </w:p>
        </w:tc>
      </w:tr>
      <w:tr>
        <w:trPr>
          <w:cantSplit/>
        </w:trPr>
        <w:tc>
          <w:tcPr>
            <w:tcW w:type="pct" w:w="55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2"/>
                <w:szCs w:val="22"/>
              </w:rPr>
              <w:t xml:space="preserve">Continue Application</w:t>
            </w:r>
          </w:p>
        </w:tc>
        <w:tc>
          <w:tcPr>
            <w:tcW w:type="pct" w:w="45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2"/>
                <w:szCs w:val="22"/>
              </w:rPr>
              <w:t xml:space="preserve">✅ Complete</w:t>
            </w:r>
          </w:p>
        </w:tc>
      </w:tr>
      <w:tr>
        <w:trPr>
          <w:cantSplit/>
        </w:trPr>
        <w:tc>
          <w:tcPr>
            <w:tcW w:type="pct" w:w="55%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2"/>
                <w:szCs w:val="22"/>
              </w:rPr>
              <w:t xml:space="preserve">Reference Recovery</w:t>
            </w:r>
          </w:p>
        </w:tc>
        <w:tc>
          <w:tcPr>
            <w:tcW w:type="pct" w:w="45%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2"/>
                <w:szCs w:val="22"/>
              </w:rPr>
              <w:t xml:space="preserve">✅ Complete</w:t>
            </w:r>
          </w:p>
        </w:tc>
      </w:tr>
      <w:tr>
        <w:trPr>
          <w:cantSplit/>
        </w:trPr>
        <w:tc>
          <w:tcPr>
            <w:tcW w:type="pct" w:w="55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2"/>
                <w:szCs w:val="22"/>
              </w:rPr>
              <w:t xml:space="preserve">Stage access guards</w:t>
            </w:r>
          </w:p>
        </w:tc>
        <w:tc>
          <w:tcPr>
            <w:tcW w:type="pct" w:w="45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2"/>
                <w:szCs w:val="22"/>
              </w:rPr>
              <w:t xml:space="preserve">✅ Complete</w:t>
            </w:r>
          </w:p>
        </w:tc>
      </w:tr>
      <w:tr>
        <w:trPr>
          <w:cantSplit/>
        </w:trPr>
        <w:tc>
          <w:tcPr>
            <w:tcW w:type="pct" w:w="55%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2"/>
                <w:szCs w:val="22"/>
              </w:rPr>
              <w:t xml:space="preserve">Responsive verification</w:t>
            </w:r>
          </w:p>
        </w:tc>
        <w:tc>
          <w:tcPr>
            <w:tcW w:type="pct" w:w="45%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2"/>
                <w:szCs w:val="22"/>
              </w:rPr>
              <w:t xml:space="preserve">✅ Complete</w:t>
            </w:r>
          </w:p>
        </w:tc>
      </w:tr>
      <w:tr>
        <w:trPr>
          <w:cantSplit/>
        </w:trPr>
        <w:tc>
          <w:tcPr>
            <w:tcW w:type="pct" w:w="55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2"/>
                <w:szCs w:val="22"/>
              </w:rPr>
              <w:t xml:space="preserve">Accessibility verification</w:t>
            </w:r>
          </w:p>
        </w:tc>
        <w:tc>
          <w:tcPr>
            <w:tcW w:type="pct" w:w="45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2"/>
                <w:szCs w:val="22"/>
              </w:rPr>
              <w:t xml:space="preserve">✅ Complete</w:t>
            </w:r>
          </w:p>
        </w:tc>
      </w:tr>
      <w:tr>
        <w:trPr>
          <w:cantSplit/>
        </w:trPr>
        <w:tc>
          <w:tcPr>
            <w:tcW w:type="pct" w:w="55%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2"/>
                <w:szCs w:val="22"/>
              </w:rPr>
              <w:t xml:space="preserve">Stage 3 planning</w:t>
            </w:r>
          </w:p>
        </w:tc>
        <w:tc>
          <w:tcPr>
            <w:tcW w:type="pct" w:w="45%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2"/>
                <w:szCs w:val="22"/>
              </w:rPr>
              <w:t xml:space="preserve">✅ Complete</w:t>
            </w:r>
          </w:p>
        </w:tc>
      </w:tr>
      <w:tr>
        <w:trPr>
          <w:cantSplit/>
        </w:trPr>
        <w:tc>
          <w:tcPr>
            <w:tcW w:type="pct" w:w="55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2"/>
                <w:szCs w:val="22"/>
              </w:rPr>
              <w:t xml:space="preserve">Stage 3 implementation</w:t>
            </w:r>
          </w:p>
        </w:tc>
        <w:tc>
          <w:tcPr>
            <w:tcW w:type="pct" w:w="45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2"/>
                <w:szCs w:val="22"/>
              </w:rPr>
              <w:t xml:space="preserve">✅ Complete (accept-only scope)</w:t>
            </w:r>
          </w:p>
        </w:tc>
      </w:tr>
      <w:tr>
        <w:trPr>
          <w:cantSplit/>
        </w:trPr>
        <w:tc>
          <w:tcPr>
            <w:tcW w:type="pct" w:w="55%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2"/>
                <w:szCs w:val="22"/>
              </w:rPr>
              <w:t xml:space="preserve">Provisional Appointment</w:t>
            </w:r>
          </w:p>
        </w:tc>
        <w:tc>
          <w:tcPr>
            <w:tcW w:type="pct" w:w="45%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2"/>
                <w:szCs w:val="22"/>
              </w:rPr>
              <w:t xml:space="preserve">⏳ Not started</w:t>
            </w:r>
          </w:p>
        </w:tc>
      </w:tr>
      <w:tr>
        <w:trPr>
          <w:cantSplit/>
        </w:trPr>
        <w:tc>
          <w:tcPr>
            <w:tcW w:type="pct" w:w="55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2"/>
                <w:szCs w:val="22"/>
              </w:rPr>
              <w:t xml:space="preserve">Staff Activation</w:t>
            </w:r>
          </w:p>
        </w:tc>
        <w:tc>
          <w:tcPr>
            <w:tcW w:type="pct" w:w="45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2"/>
                <w:szCs w:val="22"/>
              </w:rPr>
              <w:t xml:space="preserve">⏳ Not started</w:t>
            </w:r>
          </w:p>
        </w:tc>
      </w:tr>
      <w:tr>
        <w:trPr>
          <w:cantSplit/>
        </w:trPr>
        <w:tc>
          <w:tcPr>
            <w:tcW w:type="pct" w:w="55%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2"/>
                <w:szCs w:val="22"/>
              </w:rPr>
              <w:t xml:space="preserve">Onboarding</w:t>
            </w:r>
          </w:p>
        </w:tc>
        <w:tc>
          <w:tcPr>
            <w:tcW w:type="pct" w:w="45%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2"/>
                <w:szCs w:val="22"/>
              </w:rPr>
              <w:t xml:space="preserve">⏳ Not started</w:t>
            </w:r>
          </w:p>
        </w:tc>
      </w:tr>
      <w:tr>
        <w:trPr>
          <w:cantSplit/>
        </w:trPr>
        <w:tc>
          <w:tcPr>
            <w:tcW w:type="pct" w:w="55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2"/>
                <w:szCs w:val="22"/>
              </w:rPr>
              <w:t xml:space="preserve">Admin tooling</w:t>
            </w:r>
          </w:p>
        </w:tc>
        <w:tc>
          <w:tcPr>
            <w:tcW w:type="pct" w:w="45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2"/>
                <w:szCs w:val="22"/>
              </w:rPr>
              <w:t xml:space="preserve">⏳ Not started</w:t>
            </w:r>
          </w:p>
        </w:tc>
      </w:tr>
      <w:tr>
        <w:trPr>
          <w:cantSplit/>
        </w:trPr>
        <w:tc>
          <w:tcPr>
            <w:tcW w:type="pct" w:w="55%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2"/>
                <w:szCs w:val="22"/>
              </w:rPr>
              <w:t xml:space="preserve">Analytics</w:t>
            </w:r>
          </w:p>
        </w:tc>
        <w:tc>
          <w:tcPr>
            <w:tcW w:type="pct" w:w="45%"/>
            <w:shd w:fill="E8EC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2"/>
                <w:szCs w:val="22"/>
              </w:rPr>
              <w:t xml:space="preserve">⏳ Not started</w:t>
            </w:r>
          </w:p>
        </w:tc>
      </w:tr>
    </w:tbl>
    <w:p>
      <w:pPr>
        <w:pBdr>
          <w:bottom w:val="single" w:color="BECFCC" w:sz="6" w:space="4"/>
        </w:pBdr>
        <w:spacing w:after="200" w:before="120" w:line="312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30" w:before="320" w:line="312"/>
      </w:pPr>
      <w:r>
        <w:rPr>
          <w:rFonts w:ascii="Times New Roman" w:eastAsia="SimSun"/>
          <w:b/>
          <w:bCs/>
          <w:color w:val="000000"/>
          <w:sz w:val="32"/>
          <w:szCs w:val="32"/>
        </w:rPr>
        <w:t xml:space="preserve">18. Technical Quality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Across the completed stages, the following practices have been maintained: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TypeScript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Server-side validation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Zod validation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Prisma transactions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PostgreSQL persistence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Append-only stage events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Idempotent operations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Server-side recruitment state enforcement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Consistent API response envelopes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Reusable UI components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Responsive layouts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Accessibility considerations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Clean development logs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Additive-only database migrations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No unnecessary package upgrades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No unnecessary database duplication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The project has also been repeatedly browser-verified at mobile, tablet, and desktop breakpoints.</w:t>
      </w:r>
    </w:p>
    <w:p>
      <w:pPr>
        <w:pBdr>
          <w:bottom w:val="single" w:color="BECFCC" w:sz="6" w:space="4"/>
        </w:pBdr>
        <w:spacing w:after="200" w:before="120" w:line="312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30" w:before="320" w:line="312"/>
      </w:pPr>
      <w:r>
        <w:rPr>
          <w:rFonts w:ascii="Times New Roman" w:eastAsia="SimSun"/>
          <w:b/>
          <w:bCs/>
          <w:color w:val="000000"/>
          <w:sz w:val="32"/>
          <w:szCs w:val="32"/>
        </w:rPr>
        <w:t xml:space="preserve">19. Current Milestone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The project has now reached the point where the foundational recruitment architecture is stable.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The important architectural correction has ensured that the system behaves as:</w:t>
      </w:r>
    </w:p>
    <w:p>
      <w:pPr>
        <w:pBdr>
          <w:left w:val="single" w:color="0c7a43" w:sz="12" w:space="12"/>
        </w:pBdr>
        <w:spacing w:after="160" w:before="80" w:line="312"/>
        <w:ind w:left="480" w:right="480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One candidate → One application → One reference → One continuous recruitment journey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rather than separate Application, Orientation, Assessment, and Agreement applications.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With Stage 3 delivered and verified, the recruitment flow now runs end to end from application through an explicitly accepted agreement.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The next development milestone is:</w:t>
      </w:r>
    </w:p>
    <w:p>
      <w:pPr>
        <w:pStyle w:val="Heading2"/>
        <w:keepNext/>
        <w:spacing w:after="100" w:before="220" w:line="312"/>
      </w:pPr>
      <w:r>
        <w:rPr>
          <w:rFonts w:ascii="Times New Roman" w:eastAsia="SimSun"/>
          <w:b/>
          <w:bCs/>
          <w:color w:val="000000"/>
          <w:sz w:val="26"/>
          <w:szCs w:val="26"/>
        </w:rPr>
        <w:t xml:space="preserve">Stage 4 — Provisional Appointment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Stage 4 has 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not</w:t>
      </w:r>
      <w:r>
        <w:rPr>
          <w:rFonts w:ascii="Times New Roman" w:eastAsia="SimSun"/>
          <w:color w:val="000000"/>
          <w:sz w:val="24"/>
          <w:szCs w:val="24"/>
        </w:rPr>
        <w:t xml:space="preserve"> been started. In line with the stage-gated process used throughout the project, it will be planned separately before any implementation begins.</w:t>
      </w:r>
    </w:p>
    <w:p>
      <w:pPr>
        <w:pBdr>
          <w:bottom w:val="single" w:color="BECFCC" w:sz="6" w:space="4"/>
        </w:pBdr>
        <w:spacing w:after="200" w:before="120" w:line="312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30" w:before="320" w:line="312"/>
      </w:pPr>
      <w:r>
        <w:rPr>
          <w:rFonts w:ascii="Times New Roman" w:eastAsia="SimSun"/>
          <w:b/>
          <w:bCs/>
          <w:color w:val="000000"/>
          <w:sz w:val="32"/>
          <w:szCs w:val="32"/>
        </w:rPr>
        <w:t xml:space="preserve">20. Overall Assessment</w:t>
      </w:r>
    </w:p>
    <w:p>
      <w:pPr>
        <w:spacing w:after="120" w:line="312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Overall project status: ON TRACK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The project has progressed from a basic technical scaffold to a functioning recruitment workflow with: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Structured candidate applications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Automated orientation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Automated assessment and scoring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Persistent recruitment state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Controlled stage progression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Unified candidate access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Reference recovery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Audit events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Explicit, versioned agreement acceptance with one-way progression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Responsive UI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Accessibility support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Clear separation between completed, current, and locked stages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The major architectural foundation is now in place, allowing subsequent recruitment stages to be added without creating separate systems or duplicating candidate access logic.</w:t>
      </w:r>
    </w:p>
    <w:sectPr>
      <w:footerReference w:type="default" r:id="rId7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30" w:before="320" w:line="312"/>
    </w:pPr>
    <w:rPr>
      <w:rFonts w:ascii="Times New Roman" w:eastAsia="SimSu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 w:line="312"/>
    </w:pPr>
    <w:rPr>
      <w:rFonts w:ascii="Times New Roman" w:eastAsia="SimSu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2026-09-14T12:41:17.190Z</dcterms:created>
  <dcterms:modified xsi:type="dcterms:W3CDTF">2026-09-14T12:41:17.190Z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