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2"/>
          <w:szCs w:val="22"/>
        </w:rPr>
        <w:t xml:space="preserve">61st Conference of Directors General of Civil Aviation</w:t>
      </w:r>
    </w:p>
    <w:p>
      <w:pPr>
        <w:spacing w:after="20"/>
        <w:jc w:val="center"/>
      </w:pPr>
      <w:r>
        <w:rPr>
          <w:rFonts w:ascii="Times New Roman" w:cs="Times New Roman" w:eastAsia="Times New Roman" w:hAnsi="Times New Roman"/>
          <w:sz w:val="22"/>
          <w:szCs w:val="22"/>
        </w:rPr>
        <w:t xml:space="preserve">Asia and Pacific Regions — Kuala Lumpur, Malaysia, 2026</w:t>
      </w:r>
    </w:p>
    <w:p>
      <w:pPr>
        <w:spacing w:after="160"/>
        <w:jc w:val="center"/>
      </w:pPr>
      <w:r>
        <w:rPr>
          <w:rFonts w:ascii="Times New Roman" w:cs="Times New Roman" w:eastAsia="Times New Roman" w:hAnsi="Times New Roman"/>
          <w:i/>
          <w:iCs/>
          <w:sz w:val="20"/>
          <w:szCs w:val="20"/>
        </w:rPr>
        <w:t xml:space="preserve">Theme: Smart Skies — Emerging Technologies for Safe, Secure, Sustainable and Efficient Aviation</w:t>
      </w:r>
    </w:p>
    <w:p>
      <w:pPr>
        <w:pBdr>
          <w:bottom w:val="single" w:color="000000" w:sz="6" w:space="1"/>
        </w:pBdr>
        <w:spacing w:after="60" w:before="60"/>
      </w:pPr>
      <w:r>
        <w:rPr>
          <w:rFonts w:ascii="Times New Roman" w:cs="Times New Roman" w:eastAsia="Times New Roman" w:hAnsi="Times New Roman"/>
          <w:sz w:val="22"/>
          <w:szCs w:val="22"/>
        </w:rPr>
        <w:t xml:space="preserve"/>
      </w:r>
    </w:p>
    <w:p>
      <w:pPr>
        <w:tabs>
          <w:tab w:val="right" w:pos="9026"/>
        </w:tabs>
        <w:spacing w:after="40"/>
      </w:pPr>
      <w:r>
        <w:rPr>
          <w:rFonts w:ascii="Times New Roman" w:cs="Times New Roman" w:eastAsia="Times New Roman" w:hAnsi="Times New Roman"/>
          <w:b/>
          <w:bCs/>
          <w:sz w:val="22"/>
          <w:szCs w:val="22"/>
        </w:rPr>
        <w:t xml:space="preserve">Agenda Item 4 — Air Navigation</w:t>
      </w:r>
      <w:r>
        <w:rPr>
          <w:rFonts w:ascii="Times New Roman" w:cs="Times New Roman" w:eastAsia="Times New Roman" w:hAnsi="Times New Roman"/>
          <w:b/>
          <w:bCs/>
          <w:sz w:val="22"/>
          <w:szCs w:val="22"/>
        </w:rPr>
        <w:t xml:space="preserve">	DGCA61/WP/xx</w:t>
      </w:r>
    </w:p>
    <w:p>
      <w:pPr>
        <w:tabs>
          <w:tab w:val="right" w:pos="9026"/>
        </w:tabs>
        <w:spacing w:after="60"/>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t xml:space="preserve">	[Day Month] 2026</w:t>
      </w:r>
    </w:p>
    <w:p>
      <w:pPr>
        <w:pBdr>
          <w:bottom w:val="single" w:color="000000" w:sz="6" w:space="1"/>
        </w:pBdr>
        <w:spacing w:after="60" w:before="6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sz w:val="24"/>
          <w:szCs w:val="24"/>
        </w:rPr>
        <w:t xml:space="preserve">A DATA-DRIVEN APPROACH TO AIR TRAFFIC MANAGEMENT: DEVELOPING ANALYTICS CAPABILITY, REGIONAL KPIs AND THE RESPONSIBLE USE OF ARTIFICIAL INTELLIGENCE</w:t>
      </w:r>
    </w:p>
    <w:p>
      <w:pPr>
        <w:spacing w:after="240"/>
        <w:jc w:val="center"/>
      </w:pPr>
      <w:r>
        <w:rPr>
          <w:rFonts w:ascii="Times New Roman" w:cs="Times New Roman" w:eastAsia="Times New Roman" w:hAnsi="Times New Roman"/>
          <w:b/>
          <w:bCs/>
          <w:sz w:val="22"/>
          <w:szCs w:val="22"/>
        </w:rPr>
        <w:t xml:space="preserve">(Presented by Indonesia)</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Summary</w:t>
      </w:r>
    </w:p>
    <w:p>
      <w:pPr>
        <w:pBdr>
          <w:top w:val="single" w:color="000000" w:sz="4" w:space="8"/>
          <w:bottom w:val="single" w:color="000000" w:sz="4" w:space="8"/>
          <w:left w:val="single" w:color="000000" w:sz="4" w:space="12"/>
          <w:right w:val="single" w:color="000000" w:sz="4" w:space="12"/>
        </w:pBdr>
        <w:spacing w:after="60" w:before="120" w:line="276"/>
      </w:pPr>
      <w:r>
        <w:rPr>
          <w:rFonts w:ascii="Times New Roman" w:cs="Times New Roman" w:eastAsia="Times New Roman" w:hAnsi="Times New Roman"/>
          <w:sz w:val="22"/>
          <w:szCs w:val="22"/>
        </w:rPr>
        <w:t xml:space="preserve">This paper shares Indonesia’s experience building a data-driven air traffic management (ATM) capability — performance measurement, analytics governance and the responsible application of artificial intelligence (AI) — and proposes practical steps to strengthen regional data sharing and common key performance indicators (KPIs). It responds to Action Item 60/22 (data-driven ATM, regional KPIs, analytics and the ICAO APAC Data Analytics Group) and Action Item 60/21 (potential of AI to enhance aviation efficiency), and connects both to the environmental and safety objectives of the Conference.</w:t>
      </w:r>
    </w:p>
    <w:p>
      <w:pPr>
        <w:spacing w:after="160"/>
      </w:pPr>
      <w:r>
        <w:rPr>
          <w:rFonts w:ascii="Times New Roman" w:cs="Times New Roman" w:eastAsia="Times New Roman" w:hAnsi="Times New Roman"/>
          <w:i/>
          <w:iCs/>
          <w:sz w:val="22"/>
          <w:szCs w:val="22"/>
        </w:rPr>
        <w:t xml:space="preserve">Action by the Conference is at paragraph 4.</w:t>
      </w:r>
    </w:p>
    <w:p>
      <w:pPr>
        <w:spacing w:after="60"/>
      </w:pPr>
      <w:r>
        <w:rPr>
          <w:rFonts w:ascii="Times New Roman" w:cs="Times New Roman" w:eastAsia="Times New Roman" w:hAnsi="Times New Roman"/>
          <w:b/>
          <w:bCs/>
          <w:sz w:val="22"/>
          <w:szCs w:val="22"/>
        </w:rPr>
        <w:t xml:space="preserve">References:</w:t>
      </w:r>
    </w:p>
    <w:p>
      <w:pPr>
        <w:spacing w:after="40"/>
        <w:ind w:left="480" w:hanging="240"/>
      </w:pPr>
      <w:r>
        <w:rPr>
          <w:rFonts w:ascii="Times New Roman" w:cs="Times New Roman" w:eastAsia="Times New Roman" w:hAnsi="Times New Roman"/>
          <w:sz w:val="22"/>
          <w:szCs w:val="22"/>
        </w:rPr>
        <w:t xml:space="preserve">–	APAC DGCA60 Action Items 60/21 (AI) and 60/22 (data-driven ATM, regional KPIs, DAG)</w:t>
      </w:r>
    </w:p>
    <w:p>
      <w:pPr>
        <w:spacing w:after="40"/>
        <w:ind w:left="480" w:hanging="240"/>
      </w:pPr>
      <w:r>
        <w:rPr>
          <w:rFonts w:ascii="Times New Roman" w:cs="Times New Roman" w:eastAsia="Times New Roman" w:hAnsi="Times New Roman"/>
          <w:sz w:val="22"/>
          <w:szCs w:val="22"/>
        </w:rPr>
        <w:t xml:space="preserve">–	ICAO Doc 9883, Manual on Global Performance of the Air Navigation System</w:t>
      </w:r>
    </w:p>
    <w:p>
      <w:pPr>
        <w:spacing w:after="40"/>
        <w:ind w:left="480" w:hanging="240"/>
      </w:pPr>
      <w:r>
        <w:rPr>
          <w:rFonts w:ascii="Times New Roman" w:cs="Times New Roman" w:eastAsia="Times New Roman" w:hAnsi="Times New Roman"/>
          <w:sz w:val="22"/>
          <w:szCs w:val="22"/>
        </w:rPr>
        <w:t xml:space="preserve">–	ICAO GANP (7th Edition) Performance Framework and KPIs; ICAO APAC Data Analytics Group (DAG)</w:t>
      </w:r>
    </w:p>
    <w:p>
      <w:pPr>
        <w:spacing w:after="40"/>
        <w:ind w:left="480" w:hanging="240"/>
      </w:pPr>
      <w:r>
        <w:rPr>
          <w:rFonts w:ascii="Times New Roman" w:cs="Times New Roman" w:eastAsia="Times New Roman" w:hAnsi="Times New Roman"/>
          <w:sz w:val="22"/>
          <w:szCs w:val="22"/>
        </w:rPr>
        <w:t xml:space="preserve">–	ICAO guidance on the use of Artificial Intelligence in aviation</w:t>
      </w:r>
    </w:p>
    <w:p>
      <w:pPr>
        <w:spacing w:after="40" w:before="100"/>
      </w:pPr>
      <w:r>
        <w:rPr>
          <w:rFonts w:ascii="Times New Roman" w:cs="Times New Roman" w:eastAsia="Times New Roman" w:hAnsi="Times New Roman"/>
          <w:b/>
          <w:bCs/>
          <w:sz w:val="22"/>
          <w:szCs w:val="22"/>
        </w:rPr>
        <w:t xml:space="preserve">Strategic Objectives: </w:t>
      </w:r>
      <w:r>
        <w:rPr>
          <w:rFonts w:ascii="Times New Roman" w:cs="Times New Roman" w:eastAsia="Times New Roman" w:hAnsi="Times New Roman"/>
          <w:sz w:val="22"/>
          <w:szCs w:val="22"/>
        </w:rPr>
        <w:t xml:space="preserve">Air Navigation Capacity and Efficiency; Safety</w:t>
      </w:r>
    </w:p>
    <w:p>
      <w:pPr>
        <w:spacing w:after="120"/>
      </w:pPr>
      <w:r>
        <w:rPr>
          <w:rFonts w:ascii="Times New Roman" w:cs="Times New Roman" w:eastAsia="Times New Roman" w:hAnsi="Times New Roman"/>
          <w:b/>
          <w:bCs/>
          <w:sz w:val="22"/>
          <w:szCs w:val="22"/>
        </w:rPr>
        <w:t xml:space="preserve">Financial Implications: </w:t>
      </w:r>
      <w:r>
        <w:rPr>
          <w:rFonts w:ascii="Times New Roman" w:cs="Times New Roman" w:eastAsia="Times New Roman" w:hAnsi="Times New Roman"/>
          <w:sz w:val="22"/>
          <w:szCs w:val="22"/>
        </w:rPr>
        <w:t xml:space="preserve">Activities in this paper are to be undertaken within existing resources.</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1. Introduction</w:t>
      </w:r>
    </w:p>
    <w:p>
      <w:pPr>
        <w:tabs>
          <w:tab w:val="left" w:pos="720"/>
        </w:tabs>
        <w:spacing w:after="140"/>
        <w:ind w:left="720" w:hanging="7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Action Item 60/22 encouraged States/Administrations to adopt a data-driven approach in ATM, develop regional KPIs, enhance analytics capabilities, promote data sharing with strong governance, and participate in the ICAO APAC Data Analytics Group (DAG). Action Item 60/21 recognised the potential of AI to enhance aviation efficiency and performance and encouraged the sharing of best practices.</w:t>
      </w:r>
    </w:p>
    <w:p>
      <w:pPr>
        <w:tabs>
          <w:tab w:val="left" w:pos="720"/>
        </w:tabs>
        <w:spacing w:after="140"/>
        <w:ind w:left="720" w:hanging="7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The efficiency of the Asia/Pacific network cannot be managed without measuring it consistently. Divergent national metrics prevent like-for-like comparison, obscure the true drivers of delay and inefficiency, and make it impossible to target scarce investment where it delivers the greatest regional benefit. A shared performance language is a precondition for a seamless regional ATM system.</w:t>
      </w:r>
    </w:p>
    <w:p>
      <w:pPr>
        <w:tabs>
          <w:tab w:val="left" w:pos="720"/>
        </w:tabs>
        <w:spacing w:after="140"/>
        <w:ind w:left="720" w:hanging="7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AirNav Indonesia has invested in operational data infrastructure — surveillance, flight data, flow and meteorological data — and has begun converting that data into performance intelligence to support both strategic planning and day-of-operations decision-making. This paper shares that experience and proposes practical steps to accelerate regional progress.</w:t>
      </w:r>
    </w:p>
    <w:p>
      <w:pPr>
        <w:keepNext/>
        <w:spacing w:after="100" w:before="220"/>
      </w:pPr>
      <w:r>
        <w:rPr>
          <w:rFonts w:ascii="Times New Roman" w:cs="Times New Roman" w:eastAsia="Times New Roman" w:hAnsi="Times New Roman"/>
          <w:b/>
          <w:bCs/>
          <w:caps/>
          <w:sz w:val="22"/>
          <w:szCs w:val="22"/>
        </w:rPr>
        <w:t xml:space="preserve">2. Discussion</w:t>
      </w:r>
    </w:p>
    <w:p>
      <w:pPr>
        <w:spacing w:after="80" w:before="120"/>
      </w:pPr>
      <w:r>
        <w:rPr>
          <w:rFonts w:ascii="Times New Roman" w:cs="Times New Roman" w:eastAsia="Times New Roman" w:hAnsi="Times New Roman"/>
          <w:b/>
          <w:bCs/>
          <w:sz w:val="22"/>
          <w:szCs w:val="22"/>
        </w:rPr>
        <w:t xml:space="preserve">From data to a performance-based air navigation system</w:t>
      </w:r>
    </w:p>
    <w:p>
      <w:pPr>
        <w:tabs>
          <w:tab w:val="left" w:pos="720"/>
        </w:tabs>
        <w:spacing w:after="140"/>
        <w:ind w:left="720" w:hanging="7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Indonesia’s programme is anchored in the ICAO performance framework (Doc 9883 and the GANP performance component), which defines Key Performance Areas including safety, capacity, efficiency, flexibility, predictability and environment. AirNav Indonesia measures flight efficiency against nominal and filed routes, level-off and continuous descent/climb performance, ATFM delay, and airspace/airport throughput, translating raw surveillance and flight data into KPIs that are comparable over time and, critically, comparable across FIRs.</w:t>
      </w:r>
    </w:p>
    <w:p>
      <w:pPr>
        <w:tabs>
          <w:tab w:val="left" w:pos="720"/>
        </w:tabs>
        <w:spacing w:after="140"/>
        <w:ind w:left="720" w:hanging="7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A recurring lesson is that data governance determines analytical value. Without clear definitions, data quality controls, common time references and metadata, analytics produce numbers that cannot be trusted or compared. Indonesia therefore treats governance — definitions, lineage, quality assurance and access control — as the first deliverable of any analytics programme, not an afterthought.</w:t>
      </w:r>
    </w:p>
    <w:p>
      <w:pPr>
        <w:spacing w:after="80" w:before="120"/>
      </w:pPr>
      <w:r>
        <w:rPr>
          <w:rFonts w:ascii="Times New Roman" w:cs="Times New Roman" w:eastAsia="Times New Roman" w:hAnsi="Times New Roman"/>
          <w:b/>
          <w:bCs/>
          <w:sz w:val="22"/>
          <w:szCs w:val="22"/>
        </w:rPr>
        <w:t xml:space="preserve">Regional KPIs and comparability</w:t>
      </w:r>
    </w:p>
    <w:p>
      <w:pPr>
        <w:tabs>
          <w:tab w:val="left" w:pos="720"/>
        </w:tabs>
        <w:spacing w:after="140"/>
        <w:ind w:left="720" w:hanging="7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Indonesia strongly supports the development of a compact set of harmonised regional KPIs under the ICAO APAC DAG, computed from agreed data sources using agreed methods. The priority is not more metrics but comparable metrics: a small number of well-defined indicators (for example horizontal and vertical flight efficiency, ATFM delay and predictability) that every State computes the same way. This directly supports evidence-based prioritisation of airspace enhancements, and provides the measurement basis for the environmental gains sought under Action Item 60/45.</w:t>
      </w:r>
    </w:p>
    <w:p>
      <w:pPr>
        <w:spacing w:after="80" w:before="120"/>
      </w:pPr>
      <w:r>
        <w:rPr>
          <w:rFonts w:ascii="Times New Roman" w:cs="Times New Roman" w:eastAsia="Times New Roman" w:hAnsi="Times New Roman"/>
          <w:b/>
          <w:bCs/>
          <w:sz w:val="22"/>
          <w:szCs w:val="22"/>
        </w:rPr>
        <w:t xml:space="preserve">Responsible use of Artificial Intelligence</w:t>
      </w:r>
    </w:p>
    <w:p>
      <w:pPr>
        <w:tabs>
          <w:tab w:val="left" w:pos="720"/>
        </w:tabs>
        <w:spacing w:after="140"/>
        <w:ind w:left="720" w:hanging="720"/>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AI and machine learning offer significant potential in ATM: demand and delay prediction, trajectory and flow optimisation, meteorological nowcasting, conflict-risk detection and anomaly detection in surveillance data. Indonesia is exploring AI as a decision-support capability that augments — but does not replace — the human controller and the established safety framework.</w:t>
      </w:r>
    </w:p>
    <w:p>
      <w:pPr>
        <w:tabs>
          <w:tab w:val="left" w:pos="720"/>
        </w:tabs>
        <w:spacing w:after="140"/>
        <w:ind w:left="720" w:hanging="720"/>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Indonesia’s position is that AI in ATM must be introduced responsibly: models must be transparent, explainable and validated; training data must be representative and governed; human oversight and clear accountability must be preserved; and any operational use must be assessed within the Safety Management System before deployment. This safety-first, human-centred approach aligns with emerging ICAO guidance on AI in aviation and with Action Item 60/13 on harmonising regulation of complex technologies including AI.</w:t>
      </w:r>
    </w:p>
    <w:p>
      <w:pPr>
        <w:spacing w:after="80" w:before="120"/>
      </w:pPr>
      <w:r>
        <w:rPr>
          <w:rFonts w:ascii="Times New Roman" w:cs="Times New Roman" w:eastAsia="Times New Roman" w:hAnsi="Times New Roman"/>
          <w:b/>
          <w:bCs/>
          <w:sz w:val="22"/>
          <w:szCs w:val="22"/>
        </w:rPr>
        <w:t xml:space="preserve">Data sharing with strong governance</w:t>
      </w:r>
    </w:p>
    <w:p>
      <w:pPr>
        <w:tabs>
          <w:tab w:val="left" w:pos="720"/>
        </w:tabs>
        <w:spacing w:after="140"/>
        <w:ind w:left="720" w:hanging="720"/>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The regional benefit of analytics is unlocked only when data is shared across FIR boundaries under a trusted governance regime. Indonesia supports SWIM (see companion paper on SWIM/FF-ICE/TBO) as the technical vehicle for governed data sharing, and the DAG as the institutional vehicle for methodological harmonisation. Indonesia offers to contribute data, methods and analytical tooling to DAG activities and to participate in regional benchmarking exercises.</w:t>
      </w:r>
    </w:p>
    <w:p>
      <w:pPr>
        <w:keepNext/>
        <w:spacing w:after="100" w:before="220"/>
      </w:pPr>
      <w:r>
        <w:rPr>
          <w:rFonts w:ascii="Times New Roman" w:cs="Times New Roman" w:eastAsia="Times New Roman" w:hAnsi="Times New Roman"/>
          <w:b/>
          <w:bCs/>
          <w:caps/>
          <w:sz w:val="22"/>
          <w:szCs w:val="22"/>
        </w:rPr>
        <w:t xml:space="preserve">3. Conclusion</w:t>
      </w:r>
    </w:p>
    <w:p>
      <w:pPr>
        <w:tabs>
          <w:tab w:val="left" w:pos="720"/>
        </w:tabs>
        <w:spacing w:after="140"/>
        <w:ind w:left="720" w:hanging="720"/>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A data-driven ATM system, common regional KPIs and the responsible use of AI are mutually reinforcing: shared, governed data enables comparable performance measurement, which in turn provides the trusted foundation on which AI decision-support can be safely built. Indonesia is committed to advancing all three through the ICAO APAC Data Analytics Group.</w:t>
      </w:r>
    </w:p>
    <w:p>
      <w:pPr>
        <w:keepNext/>
        <w:spacing w:after="100" w:before="220"/>
      </w:pPr>
      <w:r>
        <w:rPr>
          <w:rFonts w:ascii="Times New Roman" w:cs="Times New Roman" w:eastAsia="Times New Roman" w:hAnsi="Times New Roman"/>
          <w:b/>
          <w:bCs/>
          <w:caps/>
          <w:sz w:val="22"/>
          <w:szCs w:val="22"/>
        </w:rPr>
        <w:t xml:space="preserve">4. Action by the Conference</w:t>
      </w:r>
    </w:p>
    <w:p>
      <w:pPr>
        <w:tabs>
          <w:tab w:val="left" w:pos="720"/>
        </w:tabs>
        <w:spacing w:after="140"/>
        <w:ind w:left="720" w:hanging="720"/>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The Conference is invited to:</w:t>
      </w:r>
    </w:p>
    <w:p>
      <w:pPr>
        <w:tabs>
          <w:tab w:val="left" w:pos="1440"/>
        </w:tabs>
        <w:spacing w:after="100"/>
        <w:ind w:left="1440" w:hanging="48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note Indonesia’s progress in building a data-driven ATM capability and its experience with performance measurement, analytics governance and AI decision-support;</w:t>
      </w:r>
    </w:p>
    <w:p>
      <w:pPr>
        <w:tabs>
          <w:tab w:val="left" w:pos="1440"/>
        </w:tabs>
        <w:spacing w:after="100"/>
        <w:ind w:left="1440" w:hanging="48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encourage States/Administrations to prioritise data governance — common definitions, quality controls and metadata — as the foundation of any analytics programme;</w:t>
      </w:r>
    </w:p>
    <w:p>
      <w:pPr>
        <w:tabs>
          <w:tab w:val="left" w:pos="1440"/>
        </w:tabs>
        <w:spacing w:after="100"/>
        <w:ind w:left="1440" w:hanging="48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encourage States/Administrations to adopt a compact set of harmonised regional KPIs developed through the ICAO APAC Data Analytics Group, computed using agreed data sources and methods;</w:t>
      </w:r>
    </w:p>
    <w:p>
      <w:pPr>
        <w:tabs>
          <w:tab w:val="left" w:pos="1440"/>
        </w:tabs>
        <w:spacing w:after="100"/>
        <w:ind w:left="1440" w:hanging="48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encourage States/Administrations to apply AI in ATM responsibly, ensuring transparency, validation, human oversight and assessment within the Safety Management System before operational use; and</w:t>
      </w:r>
    </w:p>
    <w:p>
      <w:pPr>
        <w:tabs>
          <w:tab w:val="left" w:pos="1440"/>
        </w:tabs>
        <w:spacing w:after="100"/>
        <w:ind w:left="1440" w:hanging="480"/>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invite States/Administrations to actively participate in and contribute data, methods and tooling to the ICAO APAC Data Analytics Group.</w:t>
      </w:r>
    </w:p>
    <w:p>
      <w:pPr>
        <w:spacing w:before="240"/>
        <w:jc w:val="center"/>
      </w:pPr>
      <w:r>
        <w:rPr>
          <w:rFonts w:ascii="Times New Roman" w:cs="Times New Roman" w:eastAsia="Times New Roman" w:hAnsi="Times New Roman"/>
          <w:b/>
          <w:b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AirNav Indonesia</dc:creator>
  <cp:lastModifiedBy>Un-named</cp:lastModifiedBy>
  <cp:revision>1</cp:revision>
  <dcterms:created xsi:type="dcterms:W3CDTF">2026-07-22T02:53:01.779Z</dcterms:created>
  <dcterms:modified xsi:type="dcterms:W3CDTF">2026-07-22T02:53:01.779Z</dcterms:modified>
</cp:coreProperties>
</file>

<file path=docProps/custom.xml><?xml version="1.0" encoding="utf-8"?>
<Properties xmlns="http://schemas.openxmlformats.org/officeDocument/2006/custom-properties" xmlns:vt="http://schemas.openxmlformats.org/officeDocument/2006/docPropsVTypes"/>
</file>