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2"/>
          <w:szCs w:val="22"/>
        </w:rPr>
        <w:t xml:space="preserve">61st Conference of Directors General of Civil Aviation</w:t>
      </w:r>
    </w:p>
    <w:p>
      <w:pPr>
        <w:spacing w:after="20"/>
        <w:jc w:val="center"/>
      </w:pPr>
      <w:r>
        <w:rPr>
          <w:rFonts w:ascii="Times New Roman" w:cs="Times New Roman" w:eastAsia="Times New Roman" w:hAnsi="Times New Roman"/>
          <w:sz w:val="22"/>
          <w:szCs w:val="22"/>
        </w:rPr>
        <w:t xml:space="preserve">Asia and Pacific Regions — Kuala Lumpur, Malaysia, 2026</w:t>
      </w:r>
    </w:p>
    <w:p>
      <w:pPr>
        <w:spacing w:after="160"/>
        <w:jc w:val="center"/>
      </w:pPr>
      <w:r>
        <w:rPr>
          <w:rFonts w:ascii="Times New Roman" w:cs="Times New Roman" w:eastAsia="Times New Roman" w:hAnsi="Times New Roman"/>
          <w:i/>
          <w:iCs/>
          <w:sz w:val="20"/>
          <w:szCs w:val="20"/>
        </w:rPr>
        <w:t xml:space="preserve">Theme: Smart Skies — Emerging Technologies for Safe, Secure, Sustainable and Efficient Aviation</w:t>
      </w:r>
    </w:p>
    <w:p>
      <w:pPr>
        <w:pBdr>
          <w:bottom w:val="single" w:color="000000" w:sz="6" w:space="1"/>
        </w:pBdr>
        <w:spacing w:after="60" w:before="60"/>
      </w:pPr>
      <w:r>
        <w:rPr>
          <w:rFonts w:ascii="Times New Roman" w:cs="Times New Roman" w:eastAsia="Times New Roman" w:hAnsi="Times New Roman"/>
          <w:sz w:val="22"/>
          <w:szCs w:val="22"/>
        </w:rPr>
        <w:t xml:space="preserve"/>
      </w:r>
    </w:p>
    <w:p>
      <w:pPr>
        <w:tabs>
          <w:tab w:val="right" w:pos="9026"/>
        </w:tabs>
        <w:spacing w:after="40"/>
      </w:pPr>
      <w:r>
        <w:rPr>
          <w:rFonts w:ascii="Times New Roman" w:cs="Times New Roman" w:eastAsia="Times New Roman" w:hAnsi="Times New Roman"/>
          <w:b/>
          <w:bCs/>
          <w:sz w:val="22"/>
          <w:szCs w:val="22"/>
        </w:rPr>
        <w:t xml:space="preserve">Agenda Item 4 — Air Navigation</w:t>
      </w:r>
      <w:r>
        <w:rPr>
          <w:rFonts w:ascii="Times New Roman" w:cs="Times New Roman" w:eastAsia="Times New Roman" w:hAnsi="Times New Roman"/>
          <w:b/>
          <w:bCs/>
          <w:sz w:val="22"/>
          <w:szCs w:val="22"/>
        </w:rPr>
        <w:t xml:space="preserve">	DGCA61/WP/xx</w:t>
      </w:r>
    </w:p>
    <w:p>
      <w:pPr>
        <w:tabs>
          <w:tab w:val="right" w:pos="9026"/>
        </w:tabs>
        <w:spacing w:after="60"/>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t xml:space="preserve">	[Day Month] 2026</w:t>
      </w:r>
    </w:p>
    <w:p>
      <w:pPr>
        <w:pBdr>
          <w:bottom w:val="single" w:color="000000" w:sz="6" w:space="1"/>
        </w:pBdr>
        <w:spacing w:after="60" w:before="6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sz w:val="24"/>
          <w:szCs w:val="24"/>
        </w:rPr>
        <w:t xml:space="preserve">BUILDING NAVIGATION RESILIENCE AGAINST GNSS RADIO FREQUENCY INTERFERENCE: DETECTION, MITIGATION AND MINIMUM OPERATIONAL NETWORKS</w:t>
      </w:r>
    </w:p>
    <w:p>
      <w:pPr>
        <w:spacing w:after="240"/>
        <w:jc w:val="center"/>
      </w:pPr>
      <w:r>
        <w:rPr>
          <w:rFonts w:ascii="Times New Roman" w:cs="Times New Roman" w:eastAsia="Times New Roman" w:hAnsi="Times New Roman"/>
          <w:b/>
          <w:bCs/>
          <w:sz w:val="22"/>
          <w:szCs w:val="22"/>
        </w:rPr>
        <w:t xml:space="preserve">(Presented by Indonesia)</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Summary</w:t>
      </w:r>
    </w:p>
    <w:p>
      <w:pPr>
        <w:pBdr>
          <w:top w:val="single" w:color="000000" w:sz="4" w:space="8"/>
          <w:bottom w:val="single" w:color="000000" w:sz="4" w:space="8"/>
          <w:left w:val="single" w:color="000000" w:sz="4" w:space="12"/>
          <w:right w:val="single" w:color="000000" w:sz="4" w:space="12"/>
        </w:pBdr>
        <w:spacing w:after="60" w:before="120" w:line="276"/>
      </w:pPr>
      <w:r>
        <w:rPr>
          <w:rFonts w:ascii="Times New Roman" w:cs="Times New Roman" w:eastAsia="Times New Roman" w:hAnsi="Times New Roman"/>
          <w:sz w:val="22"/>
          <w:szCs w:val="22"/>
        </w:rPr>
        <w:t xml:space="preserve">This paper shares Indonesia’s operational experience in detecting and mitigating Global Navigation Satellite System (GNSS) Radio Frequency Interference (RFI), maintaining a resilient Minimum Operational Network (MON) of conventional navigation aids, and coordinating with national spectrum authorities. It responds to Action Item 60/23 (GNSS RFI detection, mitigation, information sharing and MON) and Action Item 60/18 (GNSS and datalink disruption and operational resilience), and proposes practical regional actions to strengthen multi-layered navigational resilience.</w:t>
      </w:r>
    </w:p>
    <w:p>
      <w:pPr>
        <w:spacing w:after="160"/>
      </w:pPr>
      <w:r>
        <w:rPr>
          <w:rFonts w:ascii="Times New Roman" w:cs="Times New Roman" w:eastAsia="Times New Roman" w:hAnsi="Times New Roman"/>
          <w:i/>
          <w:iCs/>
          <w:sz w:val="22"/>
          <w:szCs w:val="22"/>
        </w:rPr>
        <w:t xml:space="preserve">Action by the Conference is at paragraph 4.</w:t>
      </w:r>
    </w:p>
    <w:p>
      <w:pPr>
        <w:spacing w:after="60"/>
      </w:pPr>
      <w:r>
        <w:rPr>
          <w:rFonts w:ascii="Times New Roman" w:cs="Times New Roman" w:eastAsia="Times New Roman" w:hAnsi="Times New Roman"/>
          <w:b/>
          <w:bCs/>
          <w:sz w:val="22"/>
          <w:szCs w:val="22"/>
        </w:rPr>
        <w:t xml:space="preserve">References:</w:t>
      </w:r>
    </w:p>
    <w:p>
      <w:pPr>
        <w:spacing w:after="40"/>
        <w:ind w:left="480" w:hanging="240"/>
      </w:pPr>
      <w:r>
        <w:rPr>
          <w:rFonts w:ascii="Times New Roman" w:cs="Times New Roman" w:eastAsia="Times New Roman" w:hAnsi="Times New Roman"/>
          <w:sz w:val="22"/>
          <w:szCs w:val="22"/>
        </w:rPr>
        <w:t xml:space="preserve">–	APAC DGCA60 Action Items 60/23 (GNSS RFI) and 60/18 (GNSS/datalink disruption resilience)</w:t>
      </w:r>
    </w:p>
    <w:p>
      <w:pPr>
        <w:spacing w:after="40"/>
        <w:ind w:left="480" w:hanging="240"/>
      </w:pPr>
      <w:r>
        <w:rPr>
          <w:rFonts w:ascii="Times New Roman" w:cs="Times New Roman" w:eastAsia="Times New Roman" w:hAnsi="Times New Roman"/>
          <w:sz w:val="22"/>
          <w:szCs w:val="22"/>
        </w:rPr>
        <w:t xml:space="preserve">–	ICAO Annex 10, Aeronautical Telecommunications; ICAO Doc 9849, GNSS Manual</w:t>
      </w:r>
    </w:p>
    <w:p>
      <w:pPr>
        <w:spacing w:after="40"/>
        <w:ind w:left="480" w:hanging="240"/>
      </w:pPr>
      <w:r>
        <w:rPr>
          <w:rFonts w:ascii="Times New Roman" w:cs="Times New Roman" w:eastAsia="Times New Roman" w:hAnsi="Times New Roman"/>
          <w:sz w:val="22"/>
          <w:szCs w:val="22"/>
        </w:rPr>
        <w:t xml:space="preserve">–	ICAO/regional guidance on GNSS RFI detection, reporting and mitigation; ICAO APAC Procedures for GNSS and Datalink Disruption Ad Hoc Group</w:t>
      </w:r>
    </w:p>
    <w:p>
      <w:pPr>
        <w:spacing w:after="40"/>
        <w:ind w:left="480" w:hanging="240"/>
      </w:pPr>
      <w:r>
        <w:rPr>
          <w:rFonts w:ascii="Times New Roman" w:cs="Times New Roman" w:eastAsia="Times New Roman" w:hAnsi="Times New Roman"/>
          <w:sz w:val="22"/>
          <w:szCs w:val="22"/>
        </w:rPr>
        <w:t xml:space="preserve">–	ICAO Assembly Resolutions and State Letters on harmful interference to GNSS</w:t>
      </w:r>
    </w:p>
    <w:p>
      <w:pPr>
        <w:spacing w:after="40" w:before="100"/>
      </w:pPr>
      <w:r>
        <w:rPr>
          <w:rFonts w:ascii="Times New Roman" w:cs="Times New Roman" w:eastAsia="Times New Roman" w:hAnsi="Times New Roman"/>
          <w:b/>
          <w:bCs/>
          <w:sz w:val="22"/>
          <w:szCs w:val="22"/>
        </w:rPr>
        <w:t xml:space="preserve">Strategic Objectives: </w:t>
      </w:r>
      <w:r>
        <w:rPr>
          <w:rFonts w:ascii="Times New Roman" w:cs="Times New Roman" w:eastAsia="Times New Roman" w:hAnsi="Times New Roman"/>
          <w:sz w:val="22"/>
          <w:szCs w:val="22"/>
        </w:rPr>
        <w:t xml:space="preserve">Safety; Air Navigation Capacity and Efficiency</w:t>
      </w:r>
    </w:p>
    <w:p>
      <w:pPr>
        <w:spacing w:after="120"/>
      </w:pPr>
      <w:r>
        <w:rPr>
          <w:rFonts w:ascii="Times New Roman" w:cs="Times New Roman" w:eastAsia="Times New Roman" w:hAnsi="Times New Roman"/>
          <w:b/>
          <w:bCs/>
          <w:sz w:val="22"/>
          <w:szCs w:val="22"/>
        </w:rPr>
        <w:t xml:space="preserve">Financial Implications: </w:t>
      </w:r>
      <w:r>
        <w:rPr>
          <w:rFonts w:ascii="Times New Roman" w:cs="Times New Roman" w:eastAsia="Times New Roman" w:hAnsi="Times New Roman"/>
          <w:sz w:val="22"/>
          <w:szCs w:val="22"/>
        </w:rPr>
        <w:t xml:space="preserve">Activities in this paper are to be undertaken within existing resources.</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1. Introduction</w:t>
      </w:r>
    </w:p>
    <w:p>
      <w:pPr>
        <w:tabs>
          <w:tab w:val="left" w:pos="720"/>
        </w:tabs>
        <w:spacing w:after="140"/>
        <w:ind w:left="720" w:hanging="72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GNSS RFI — encompassing both jamming (denial of signal) and spoofing (deception of position, navigation and timing) — has become one of the most significant emerging threats to civil aviation navigation. Action Item 60/23 recognised the increasing risk of GNSS RFI, highlighted the essential role of conventional navigation aids in contingency planning, and urged States to implement detection and mitigation systems, share events and best practices, and formulate strategies ensuring Minimum Operational Networks (MONs) and multi-layered navigational resilience. Action Item 60/18 reinforced the importance of operational resilience and participation in the regional GNSS and Datalink Disruption Ad Hoc Group.</w:t>
      </w:r>
    </w:p>
    <w:p>
      <w:pPr>
        <w:tabs>
          <w:tab w:val="left" w:pos="720"/>
        </w:tabs>
        <w:spacing w:after="140"/>
        <w:ind w:left="720" w:hanging="72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As civil aviation has become increasingly dependent on GNSS for navigation, surveillance and timing, RFI events have grown in frequency and sophistication worldwide, including in and adjacent to the Asia/Pacific region. A single interference source can affect multiple aircraft across wide areas and cross FIR boundaries, making the threat inherently regional and requiring a coordinated response.</w:t>
      </w:r>
    </w:p>
    <w:p>
      <w:pPr>
        <w:tabs>
          <w:tab w:val="left" w:pos="720"/>
        </w:tabs>
        <w:spacing w:after="140"/>
        <w:ind w:left="720" w:hanging="72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Indonesia, managing the Jakarta and Ujung Pandang (Makassar) Flight Information Regions across a vast archipelagic and oceanic airspace, has established operational procedures and coordination mechanisms to detect, respond to and mitigate GNSS RFI while preserving safe operations. This paper shares that experience.</w:t>
      </w:r>
    </w:p>
    <w:p>
      <w:pPr>
        <w:keepNext/>
        <w:spacing w:after="100" w:before="220"/>
      </w:pPr>
      <w:r>
        <w:rPr>
          <w:rFonts w:ascii="Times New Roman" w:cs="Times New Roman" w:eastAsia="Times New Roman" w:hAnsi="Times New Roman"/>
          <w:b/>
          <w:bCs/>
          <w:caps/>
          <w:sz w:val="22"/>
          <w:szCs w:val="22"/>
        </w:rPr>
        <w:t xml:space="preserve">2. Discussion</w:t>
      </w:r>
    </w:p>
    <w:p>
      <w:pPr>
        <w:spacing w:after="80" w:before="120"/>
      </w:pPr>
      <w:r>
        <w:rPr>
          <w:rFonts w:ascii="Times New Roman" w:cs="Times New Roman" w:eastAsia="Times New Roman" w:hAnsi="Times New Roman"/>
          <w:b/>
          <w:bCs/>
          <w:sz w:val="22"/>
          <w:szCs w:val="22"/>
        </w:rPr>
        <w:t xml:space="preserve">Detection and reporting</w:t>
      </w:r>
    </w:p>
    <w:p>
      <w:pPr>
        <w:tabs>
          <w:tab w:val="left" w:pos="720"/>
        </w:tabs>
        <w:spacing w:after="140"/>
        <w:ind w:left="720" w:hanging="72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AirNav Indonesia has established GNSS RFI handling procedures aligned to ICAO standards and applied consistently across all air traffic service units. Detection relies on multiple complementary layers: air traffic controllers are trained to recognise discrepancies between aircraft-reported position and independent surveillance (radar/multilateration); pilots report navigation anomalies observed in the cockpit; and events are systematically documented. This human-and-surveillance detection layer is low-cost, immediately deployable and highly transferable to other States.</w:t>
      </w:r>
    </w:p>
    <w:p>
      <w:pPr>
        <w:tabs>
          <w:tab w:val="left" w:pos="720"/>
        </w:tabs>
        <w:spacing w:after="140"/>
        <w:ind w:left="720" w:hanging="72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On detection, controllers coordinate directly with affected aircraft, pass information to adjacent ATC units and neighbouring FIRs, and report incidents to the Directorate General of Civil Aviation. Consistent, structured reporting is essential both for immediate safety and for building the regional evidence base needed to characterise the threat.</w:t>
      </w:r>
    </w:p>
    <w:p>
      <w:pPr>
        <w:spacing w:after="80" w:before="120"/>
      </w:pPr>
      <w:r>
        <w:rPr>
          <w:rFonts w:ascii="Times New Roman" w:cs="Times New Roman" w:eastAsia="Times New Roman" w:hAnsi="Times New Roman"/>
          <w:b/>
          <w:bCs/>
          <w:sz w:val="22"/>
          <w:szCs w:val="22"/>
        </w:rPr>
        <w:t xml:space="preserve">Mitigation and the Minimum Operational Network (MON)</w:t>
      </w:r>
    </w:p>
    <w:p>
      <w:pPr>
        <w:tabs>
          <w:tab w:val="left" w:pos="720"/>
        </w:tabs>
        <w:spacing w:after="140"/>
        <w:ind w:left="720" w:hanging="72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Indonesia’s mitigation strategy rests on multi-layered navigational resilience — the principle that GNSS must never be a single point of failure. When GNSS RFI is detected, controllers provide direct navigation assistance through radar vectoring and support a transition to conventional terrestrial navigation aids (VOR, DME and ILS) to ensure safe en-route, approach and landing operations. Retaining and maintaining a rationalised network of conventional aids as a MON is therefore a deliberate resilience investment, not a legacy cost.</w:t>
      </w:r>
    </w:p>
    <w:p>
      <w:pPr>
        <w:tabs>
          <w:tab w:val="left" w:pos="720"/>
        </w:tabs>
        <w:spacing w:after="140"/>
        <w:ind w:left="720" w:hanging="720"/>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Indonesia supports the regional objective of collaborating to share the coverage of ground navigation aids to establish a regional MON, so that resilience is planned across FIR boundaries rather than State-by-State, avoiding gaps at the margins of national coverage.</w:t>
      </w:r>
    </w:p>
    <w:p>
      <w:pPr>
        <w:spacing w:after="80" w:before="120"/>
      </w:pPr>
      <w:r>
        <w:rPr>
          <w:rFonts w:ascii="Times New Roman" w:cs="Times New Roman" w:eastAsia="Times New Roman" w:hAnsi="Times New Roman"/>
          <w:b/>
          <w:bCs/>
          <w:sz w:val="22"/>
          <w:szCs w:val="22"/>
        </w:rPr>
        <w:t xml:space="preserve">Coordination with spectrum authorities</w:t>
      </w:r>
    </w:p>
    <w:p>
      <w:pPr>
        <w:tabs>
          <w:tab w:val="left" w:pos="720"/>
        </w:tabs>
        <w:spacing w:after="140"/>
        <w:ind w:left="720" w:hanging="720"/>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GNSS RFI is fundamentally a spectrum-management problem as well as an aviation problem. AirNav Indonesia coordinates with the national spectrum regulator (the Ministry of Communication and Digital Affairs) through the Radio Frequency Spectrum Monitoring Centre (Balmon) for geolocation, tracking and enforcement action against interference sources. Indonesia’s experience underscores that effective mitigation requires an institutional bridge between the ANSP and the national spectrum authority — a mechanism that every State can establish and that materially strengthens the ability to locate and shut down interference sources.</w:t>
      </w:r>
    </w:p>
    <w:p>
      <w:pPr>
        <w:spacing w:after="80" w:before="120"/>
      </w:pPr>
      <w:r>
        <w:rPr>
          <w:rFonts w:ascii="Times New Roman" w:cs="Times New Roman" w:eastAsia="Times New Roman" w:hAnsi="Times New Roman"/>
          <w:b/>
          <w:bCs/>
          <w:sz w:val="22"/>
          <w:szCs w:val="22"/>
        </w:rPr>
        <w:t xml:space="preserve">Regional information sharing and resilience</w:t>
      </w:r>
    </w:p>
    <w:p>
      <w:pPr>
        <w:tabs>
          <w:tab w:val="left" w:pos="720"/>
        </w:tabs>
        <w:spacing w:after="140"/>
        <w:ind w:left="720" w:hanging="720"/>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Because interference crosses borders, no State can characterise or counter the threat alone. Indonesia supports active participation in the ICAO APAC Procedures for GNSS and Datalink Disruption Ad Hoc Group, timely sharing of RFI events and mitigation best practices, and the development of harmonised reporting so that regional data is comparable and actionable. Indonesia offers to share its procedures, controller training approach and its ANSP–spectrum-authority coordination model as a regional contribution.</w:t>
      </w:r>
    </w:p>
    <w:p>
      <w:pPr>
        <w:keepNext/>
        <w:spacing w:after="100" w:before="220"/>
      </w:pPr>
      <w:r>
        <w:rPr>
          <w:rFonts w:ascii="Times New Roman" w:cs="Times New Roman" w:eastAsia="Times New Roman" w:hAnsi="Times New Roman"/>
          <w:b/>
          <w:bCs/>
          <w:caps/>
          <w:sz w:val="22"/>
          <w:szCs w:val="22"/>
        </w:rPr>
        <w:t xml:space="preserve">3. Conclusion</w:t>
      </w:r>
    </w:p>
    <w:p>
      <w:pPr>
        <w:tabs>
          <w:tab w:val="left" w:pos="720"/>
        </w:tabs>
        <w:spacing w:after="140"/>
        <w:ind w:left="720" w:hanging="720"/>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Resilience against GNSS RFI is achieved not by any single measure but by layering them: trained human and surveillance-based detection, a maintained MON of conventional navigation aids, an institutional bridge to spectrum authorities, and regional information sharing. Indonesia has implemented all four layers and is committed to strengthening regional, multi-layered navigational resilience.</w:t>
      </w:r>
    </w:p>
    <w:p>
      <w:pPr>
        <w:keepNext/>
        <w:spacing w:after="100" w:before="220"/>
      </w:pPr>
      <w:r>
        <w:rPr>
          <w:rFonts w:ascii="Times New Roman" w:cs="Times New Roman" w:eastAsia="Times New Roman" w:hAnsi="Times New Roman"/>
          <w:b/>
          <w:bCs/>
          <w:caps/>
          <w:sz w:val="22"/>
          <w:szCs w:val="22"/>
        </w:rPr>
        <w:t xml:space="preserve">4. Action by the Conference</w:t>
      </w:r>
    </w:p>
    <w:p>
      <w:pPr>
        <w:tabs>
          <w:tab w:val="left" w:pos="720"/>
        </w:tabs>
        <w:spacing w:after="140"/>
        <w:ind w:left="720" w:hanging="720"/>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The Conference is invited to:</w:t>
      </w:r>
    </w:p>
    <w:p>
      <w:pPr>
        <w:tabs>
          <w:tab w:val="left" w:pos="1440"/>
        </w:tabs>
        <w:spacing w:after="100"/>
        <w:ind w:left="1440" w:hanging="48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note Indonesia’s operational experience in detecting and mitigating GNSS RFI and maintaining multi-layered navigational resilience across its FIRs;</w:t>
      </w:r>
    </w:p>
    <w:p>
      <w:pPr>
        <w:tabs>
          <w:tab w:val="left" w:pos="1440"/>
        </w:tabs>
        <w:spacing w:after="100"/>
        <w:ind w:left="1440" w:hanging="48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encourage States/Administrations to implement layered GNSS RFI detection combining controller training, independent surveillance and structured pilot/ATC reporting;</w:t>
      </w:r>
    </w:p>
    <w:p>
      <w:pPr>
        <w:tabs>
          <w:tab w:val="left" w:pos="1440"/>
        </w:tabs>
        <w:spacing w:after="100"/>
        <w:ind w:left="1440" w:hanging="48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encourage States/Administrations to retain and maintain a rationalised Minimum Operational Network of conventional navigation aids (VOR/DME/ILS) as a deliberate resilience investment, and to collaborate on sharing ground-aid coverage toward a regional MON;</w:t>
      </w:r>
    </w:p>
    <w:p>
      <w:pPr>
        <w:tabs>
          <w:tab w:val="left" w:pos="1440"/>
        </w:tabs>
        <w:spacing w:after="100"/>
        <w:ind w:left="1440" w:hanging="48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encourage States/Administrations to establish a formal coordination mechanism between the ANSP and the national spectrum authority for geolocation and enforcement against interference sources; and</w:t>
      </w:r>
    </w:p>
    <w:p>
      <w:pPr>
        <w:tabs>
          <w:tab w:val="left" w:pos="1440"/>
        </w:tabs>
        <w:spacing w:after="100"/>
        <w:ind w:left="1440" w:hanging="480"/>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urge States/Administrations to participate actively in the ICAO APAC Procedures for GNSS and Datalink Disruption Ad Hoc Group and to share RFI events and mitigation best practices using harmonised reporting.</w:t>
      </w:r>
    </w:p>
    <w:p>
      <w:pPr>
        <w:spacing w:before="240"/>
        <w:jc w:val="center"/>
      </w:pPr>
      <w:r>
        <w:rPr>
          <w:rFonts w:ascii="Times New Roman" w:cs="Times New Roman" w:eastAsia="Times New Roman" w:hAnsi="Times New Roman"/>
          <w:b/>
          <w:bCs/>
          <w:sz w:val="22"/>
          <w:szCs w:val="22"/>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AirNav Indonesia</dc:creator>
  <cp:lastModifiedBy>Un-named</cp:lastModifiedBy>
  <cp:revision>1</cp:revision>
  <dcterms:created xsi:type="dcterms:W3CDTF">2026-07-22T02:53:01.789Z</dcterms:created>
  <dcterms:modified xsi:type="dcterms:W3CDTF">2026-07-22T02:53:01.789Z</dcterms:modified>
</cp:coreProperties>
</file>

<file path=docProps/custom.xml><?xml version="1.0" encoding="utf-8"?>
<Properties xmlns="http://schemas.openxmlformats.org/officeDocument/2006/custom-properties" xmlns:vt="http://schemas.openxmlformats.org/officeDocument/2006/docPropsVTypes"/>
</file>