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2"/>
          <w:szCs w:val="22"/>
        </w:rPr>
        <w:t xml:space="preserve">61st Conference of Directors General of Civil Aviation</w:t>
      </w:r>
    </w:p>
    <w:p>
      <w:pPr>
        <w:spacing w:after="20"/>
        <w:jc w:val="center"/>
      </w:pPr>
      <w:r>
        <w:rPr>
          <w:rFonts w:ascii="Times New Roman" w:cs="Times New Roman" w:eastAsia="Times New Roman" w:hAnsi="Times New Roman"/>
          <w:sz w:val="22"/>
          <w:szCs w:val="22"/>
        </w:rPr>
        <w:t xml:space="preserve">Asia and Pacific Regions — Kuala Lumpur, Malaysia, 2026</w:t>
      </w:r>
    </w:p>
    <w:p>
      <w:pPr>
        <w:spacing w:after="160"/>
        <w:jc w:val="center"/>
      </w:pPr>
      <w:r>
        <w:rPr>
          <w:rFonts w:ascii="Times New Roman" w:cs="Times New Roman" w:eastAsia="Times New Roman" w:hAnsi="Times New Roman"/>
          <w:i/>
          <w:iCs/>
          <w:sz w:val="20"/>
          <w:szCs w:val="20"/>
        </w:rPr>
        <w:t xml:space="preserve">Theme: Smart Skies — Emerging Technologies for Safe, Secure, Sustainable and Efficient Aviation</w:t>
      </w:r>
    </w:p>
    <w:p>
      <w:pPr>
        <w:pBdr>
          <w:bottom w:val="single" w:color="000000" w:sz="6" w:space="1"/>
        </w:pBdr>
        <w:spacing w:after="60" w:before="60"/>
      </w:pPr>
      <w:r>
        <w:rPr>
          <w:rFonts w:ascii="Times New Roman" w:cs="Times New Roman" w:eastAsia="Times New Roman" w:hAnsi="Times New Roman"/>
          <w:sz w:val="22"/>
          <w:szCs w:val="22"/>
        </w:rPr>
        <w:t xml:space="preserve"/>
      </w:r>
    </w:p>
    <w:p>
      <w:pPr>
        <w:tabs>
          <w:tab w:val="right" w:pos="9026"/>
        </w:tabs>
        <w:spacing w:after="40"/>
      </w:pPr>
      <w:r>
        <w:rPr>
          <w:rFonts w:ascii="Times New Roman" w:cs="Times New Roman" w:eastAsia="Times New Roman" w:hAnsi="Times New Roman"/>
          <w:b/>
          <w:bCs/>
          <w:sz w:val="22"/>
          <w:szCs w:val="22"/>
        </w:rPr>
        <w:t xml:space="preserve">Agenda Item 3 — Aviation Safety</w:t>
      </w:r>
      <w:r>
        <w:rPr>
          <w:rFonts w:ascii="Times New Roman" w:cs="Times New Roman" w:eastAsia="Times New Roman" w:hAnsi="Times New Roman"/>
          <w:b/>
          <w:bCs/>
          <w:sz w:val="22"/>
          <w:szCs w:val="22"/>
        </w:rPr>
        <w:t xml:space="preserve">	DGCA61/WP/xx</w:t>
      </w:r>
    </w:p>
    <w:p>
      <w:pPr>
        <w:tabs>
          <w:tab w:val="right" w:pos="9026"/>
        </w:tabs>
        <w:spacing w:after="60"/>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t xml:space="preserve">	[Day Month] 2026</w:t>
      </w:r>
    </w:p>
    <w:p>
      <w:pPr>
        <w:pBdr>
          <w:bottom w:val="single" w:color="000000" w:sz="6" w:space="1"/>
        </w:pBdr>
        <w:spacing w:after="60" w:before="60"/>
      </w:pPr>
      <w:r>
        <w:rPr>
          <w:rFonts w:ascii="Times New Roman" w:cs="Times New Roman" w:eastAsia="Times New Roman" w:hAnsi="Times New Roman"/>
          <w:sz w:val="22"/>
          <w:szCs w:val="22"/>
        </w:rPr>
        <w:t xml:space="preserve"/>
      </w:r>
    </w:p>
    <w:p>
      <w:pPr>
        <w:spacing w:after="120" w:before="240"/>
        <w:jc w:val="center"/>
      </w:pPr>
      <w:r>
        <w:rPr>
          <w:rFonts w:ascii="Times New Roman" w:cs="Times New Roman" w:eastAsia="Times New Roman" w:hAnsi="Times New Roman"/>
          <w:b/>
          <w:bCs/>
          <w:sz w:val="24"/>
          <w:szCs w:val="24"/>
        </w:rPr>
        <w:t xml:space="preserve">FROM REACTIVE TO PREDICTIVE: STRENGTHENING SMS THROUGH DATA ANALYTICS, POSITIVE SAFETY CULTURE AND REGIONAL DATA SHARING</w:t>
      </w:r>
    </w:p>
    <w:p>
      <w:pPr>
        <w:spacing w:after="240"/>
        <w:jc w:val="center"/>
      </w:pPr>
      <w:r>
        <w:rPr>
          <w:rFonts w:ascii="Times New Roman" w:cs="Times New Roman" w:eastAsia="Times New Roman" w:hAnsi="Times New Roman"/>
          <w:b/>
          <w:bCs/>
          <w:sz w:val="22"/>
          <w:szCs w:val="22"/>
        </w:rPr>
        <w:t xml:space="preserve">(Presented by Indonesia)</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Summary</w:t>
      </w:r>
    </w:p>
    <w:p>
      <w:pPr>
        <w:pBdr>
          <w:top w:val="single" w:color="000000" w:sz="4" w:space="8"/>
          <w:bottom w:val="single" w:color="000000" w:sz="4" w:space="8"/>
          <w:left w:val="single" w:color="000000" w:sz="4" w:space="12"/>
          <w:right w:val="single" w:color="000000" w:sz="4" w:space="12"/>
        </w:pBdr>
        <w:spacing w:after="60" w:before="120" w:line="276"/>
      </w:pPr>
      <w:r>
        <w:rPr>
          <w:rFonts w:ascii="Times New Roman" w:cs="Times New Roman" w:eastAsia="Times New Roman" w:hAnsi="Times New Roman"/>
          <w:sz w:val="22"/>
          <w:szCs w:val="22"/>
        </w:rPr>
        <w:t xml:space="preserve">This paper shares Indonesia’s experience advancing its Safety Management System (SMS) from a reactive and proactive posture toward predictive safety management, using safety data analytics, a positive safety culture and participation in regional data sharing. It responds to Action Item 60/8 (effective SSP/SMS implementation, predictive tools and performance reviews), Action Item 60/3 (Regional Data Sharing Initiative) and Action Item 60/4 (Positive Safety Culture), and proposes practical regional actions to raise the level of SMS effectiveness across the Asia/Pacific region.</w:t>
      </w:r>
    </w:p>
    <w:p>
      <w:pPr>
        <w:spacing w:after="160"/>
      </w:pPr>
      <w:r>
        <w:rPr>
          <w:rFonts w:ascii="Times New Roman" w:cs="Times New Roman" w:eastAsia="Times New Roman" w:hAnsi="Times New Roman"/>
          <w:i/>
          <w:iCs/>
          <w:sz w:val="22"/>
          <w:szCs w:val="22"/>
        </w:rPr>
        <w:t xml:space="preserve">Action by the Conference is at paragraph 4.</w:t>
      </w:r>
    </w:p>
    <w:p>
      <w:pPr>
        <w:spacing w:after="60"/>
      </w:pPr>
      <w:r>
        <w:rPr>
          <w:rFonts w:ascii="Times New Roman" w:cs="Times New Roman" w:eastAsia="Times New Roman" w:hAnsi="Times New Roman"/>
          <w:b/>
          <w:bCs/>
          <w:sz w:val="22"/>
          <w:szCs w:val="22"/>
        </w:rPr>
        <w:t xml:space="preserve">References:</w:t>
      </w:r>
    </w:p>
    <w:p>
      <w:pPr>
        <w:spacing w:after="40"/>
        <w:ind w:left="480" w:hanging="240"/>
      </w:pPr>
      <w:r>
        <w:rPr>
          <w:rFonts w:ascii="Times New Roman" w:cs="Times New Roman" w:eastAsia="Times New Roman" w:hAnsi="Times New Roman"/>
          <w:sz w:val="22"/>
          <w:szCs w:val="22"/>
        </w:rPr>
        <w:t xml:space="preserve">–	APAC DGCA60 Action Items 60/8 (SSP/SMS, predictive tools), 60/3 (Regional Data Sharing Initiative) and 60/4 (Positive Safety Culture)</w:t>
      </w:r>
    </w:p>
    <w:p>
      <w:pPr>
        <w:spacing w:after="40"/>
        <w:ind w:left="480" w:hanging="240"/>
      </w:pPr>
      <w:r>
        <w:rPr>
          <w:rFonts w:ascii="Times New Roman" w:cs="Times New Roman" w:eastAsia="Times New Roman" w:hAnsi="Times New Roman"/>
          <w:sz w:val="22"/>
          <w:szCs w:val="22"/>
        </w:rPr>
        <w:t xml:space="preserve">–	ICAO Annex 19, Safety Management; ICAO Doc 9859, Safety Management Manual (SMM), 4th Edition</w:t>
      </w:r>
    </w:p>
    <w:p>
      <w:pPr>
        <w:spacing w:after="40"/>
        <w:ind w:left="480" w:hanging="240"/>
      </w:pPr>
      <w:r>
        <w:rPr>
          <w:rFonts w:ascii="Times New Roman" w:cs="Times New Roman" w:eastAsia="Times New Roman" w:hAnsi="Times New Roman"/>
          <w:sz w:val="22"/>
          <w:szCs w:val="22"/>
        </w:rPr>
        <w:t xml:space="preserve">–	ICAO Global Aviation Safety Plan (GASP) and APAC eGASP goals</w:t>
      </w:r>
    </w:p>
    <w:p>
      <w:pPr>
        <w:spacing w:after="40"/>
        <w:ind w:left="480" w:hanging="240"/>
      </w:pPr>
      <w:r>
        <w:rPr>
          <w:rFonts w:ascii="Times New Roman" w:cs="Times New Roman" w:eastAsia="Times New Roman" w:hAnsi="Times New Roman"/>
          <w:sz w:val="22"/>
          <w:szCs w:val="22"/>
        </w:rPr>
        <w:t xml:space="preserve">–	RASG-APAC and APRAST work programmes; Regional Safety Data Sharing initiatives</w:t>
      </w:r>
    </w:p>
    <w:p>
      <w:pPr>
        <w:spacing w:after="40" w:before="100"/>
      </w:pPr>
      <w:r>
        <w:rPr>
          <w:rFonts w:ascii="Times New Roman" w:cs="Times New Roman" w:eastAsia="Times New Roman" w:hAnsi="Times New Roman"/>
          <w:b/>
          <w:bCs/>
          <w:sz w:val="22"/>
          <w:szCs w:val="22"/>
        </w:rPr>
        <w:t xml:space="preserve">Strategic Objectives: </w:t>
      </w:r>
      <w:r>
        <w:rPr>
          <w:rFonts w:ascii="Times New Roman" w:cs="Times New Roman" w:eastAsia="Times New Roman" w:hAnsi="Times New Roman"/>
          <w:sz w:val="22"/>
          <w:szCs w:val="22"/>
        </w:rPr>
        <w:t xml:space="preserve">Safety</w:t>
      </w:r>
    </w:p>
    <w:p>
      <w:pPr>
        <w:spacing w:after="120"/>
      </w:pPr>
      <w:r>
        <w:rPr>
          <w:rFonts w:ascii="Times New Roman" w:cs="Times New Roman" w:eastAsia="Times New Roman" w:hAnsi="Times New Roman"/>
          <w:b/>
          <w:bCs/>
          <w:sz w:val="22"/>
          <w:szCs w:val="22"/>
        </w:rPr>
        <w:t xml:space="preserve">Financial Implications: </w:t>
      </w:r>
      <w:r>
        <w:rPr>
          <w:rFonts w:ascii="Times New Roman" w:cs="Times New Roman" w:eastAsia="Times New Roman" w:hAnsi="Times New Roman"/>
          <w:sz w:val="22"/>
          <w:szCs w:val="22"/>
        </w:rPr>
        <w:t xml:space="preserve">Activities in this paper are to be undertaken within existing resources.</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1. Introduction</w:t>
      </w:r>
    </w:p>
    <w:p>
      <w:pPr>
        <w:tabs>
          <w:tab w:val="left" w:pos="720"/>
        </w:tabs>
        <w:spacing w:after="140"/>
        <w:ind w:left="720" w:hanging="72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Action Item 60/8 acknowledged the challenges in implementing State Safety Programmes (SSP) and Safety Management Systems (SMS) effectively, and encouraged States to share best practices and innovative tools, enhance civil-military data integration, and consider the adoption of predictive tools and regular performance reviews. Action Item 60/3 encouraged participation in the Regional Data Sharing Initiative, and Action Item 60/4 encouraged the implementation of a Positive Safety Culture as a safety enabler.</w:t>
      </w:r>
    </w:p>
    <w:p>
      <w:pPr>
        <w:tabs>
          <w:tab w:val="left" w:pos="720"/>
        </w:tabs>
        <w:spacing w:after="140"/>
        <w:ind w:left="720" w:hanging="72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As traffic in the Asia/Pacific region grows and the system becomes more complex, the historical safety model — learning from accidents and incidents after they occur — is no longer sufficient on its own. ICAO Annex 19 and the Global Aviation Safety Plan (GASP) call for the progressive maturation of safety management from reactive, through proactive, to predictive: identifying and mitigating hazards before they result in occurrences.</w:t>
      </w:r>
    </w:p>
    <w:p>
      <w:pPr>
        <w:tabs>
          <w:tab w:val="left" w:pos="720"/>
        </w:tabs>
        <w:spacing w:after="140"/>
        <w:ind w:left="720" w:hanging="72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AirNav Indonesia, as a certified air navigation services provider operating under an approved SMS within Indonesia’s SSP, has been strengthening its safety data capability, its reporting culture and its participation in regional safety collaboration. This paper shares that experience and offers practical actions for the region.</w:t>
      </w:r>
    </w:p>
    <w:p>
      <w:pPr>
        <w:keepNext/>
        <w:spacing w:after="100" w:before="220"/>
      </w:pPr>
      <w:r>
        <w:rPr>
          <w:rFonts w:ascii="Times New Roman" w:cs="Times New Roman" w:eastAsia="Times New Roman" w:hAnsi="Times New Roman"/>
          <w:b/>
          <w:bCs/>
          <w:caps/>
          <w:sz w:val="22"/>
          <w:szCs w:val="22"/>
        </w:rPr>
        <w:t xml:space="preserve">2. Discussion</w:t>
      </w:r>
    </w:p>
    <w:p>
      <w:pPr>
        <w:spacing w:after="80" w:before="120"/>
      </w:pPr>
      <w:r>
        <w:rPr>
          <w:rFonts w:ascii="Times New Roman" w:cs="Times New Roman" w:eastAsia="Times New Roman" w:hAnsi="Times New Roman"/>
          <w:b/>
          <w:bCs/>
          <w:sz w:val="22"/>
          <w:szCs w:val="22"/>
        </w:rPr>
        <w:t xml:space="preserve">Toward predictive safety management</w:t>
      </w:r>
    </w:p>
    <w:p>
      <w:pPr>
        <w:tabs>
          <w:tab w:val="left" w:pos="720"/>
        </w:tabs>
        <w:spacing w:after="140"/>
        <w:ind w:left="720" w:hanging="720"/>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Predictive safety management depends on the systematic collection, integration and analysis of safety data from many sources — mandatory and voluntary occurrence reports, operational and surveillance data, and normal-operations monitoring. AirNav Indonesia is building the data foundation and analytical methods to identify precursors and emerging risk patterns before they manifest as incidents, supporting the shift from counting past events to anticipating future ones.</w:t>
      </w:r>
    </w:p>
    <w:p>
      <w:pPr>
        <w:tabs>
          <w:tab w:val="left" w:pos="720"/>
        </w:tabs>
        <w:spacing w:after="140"/>
        <w:ind w:left="720" w:hanging="720"/>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A key lesson is that predictive capability is only as good as the data feeding it. This links safety management directly to the data-governance and analytics themes elsewhere on the Conference agenda (Action Items 60/21 and 60/22): the same discipline of common definitions, data quality and governed sharing that underpins ATM performance analytics also underpins predictive safety.</w:t>
      </w:r>
    </w:p>
    <w:p>
      <w:pPr>
        <w:spacing w:after="80" w:before="120"/>
      </w:pPr>
      <w:r>
        <w:rPr>
          <w:rFonts w:ascii="Times New Roman" w:cs="Times New Roman" w:eastAsia="Times New Roman" w:hAnsi="Times New Roman"/>
          <w:b/>
          <w:bCs/>
          <w:sz w:val="22"/>
          <w:szCs w:val="22"/>
        </w:rPr>
        <w:t xml:space="preserve">Positive Safety Culture as the enabler</w:t>
      </w:r>
    </w:p>
    <w:p>
      <w:pPr>
        <w:tabs>
          <w:tab w:val="left" w:pos="720"/>
        </w:tabs>
        <w:spacing w:after="140"/>
        <w:ind w:left="720" w:hanging="720"/>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Predictive tools fail without data, and data depends on reporting, and reporting depends on culture. Indonesia’s experience confirms that a Positive Safety Culture — in which personnel report hazards and errors without fear of inappropriate blame, within a fair and just framework — is the indispensable enabler of an effective SMS. AirNav Indonesia invests in just-culture principles, confidential reporting channels, and regular, planned engagement with operational personnel, so that the reporting stream on which analytics depends remains rich and honest.</w:t>
      </w:r>
    </w:p>
    <w:p>
      <w:pPr>
        <w:tabs>
          <w:tab w:val="left" w:pos="720"/>
        </w:tabs>
        <w:spacing w:after="140"/>
        <w:ind w:left="720" w:hanging="720"/>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Indonesia supports Action Item 60/4 and offers to share its practical experience in building and sustaining a reporting culture, including the engagement mechanisms with controllers and technical staff that keep voluntary reporting healthy.</w:t>
      </w:r>
    </w:p>
    <w:p>
      <w:pPr>
        <w:spacing w:after="80" w:before="120"/>
      </w:pPr>
      <w:r>
        <w:rPr>
          <w:rFonts w:ascii="Times New Roman" w:cs="Times New Roman" w:eastAsia="Times New Roman" w:hAnsi="Times New Roman"/>
          <w:b/>
          <w:bCs/>
          <w:sz w:val="22"/>
          <w:szCs w:val="22"/>
        </w:rPr>
        <w:t xml:space="preserve">Performance-based safety oversight</w:t>
      </w:r>
    </w:p>
    <w:p>
      <w:pPr>
        <w:tabs>
          <w:tab w:val="left" w:pos="720"/>
        </w:tabs>
        <w:spacing w:after="140"/>
        <w:ind w:left="720" w:hanging="720"/>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Indonesia is moving toward regular, data-informed safety performance reviews using Safety Performance Indicators (SPIs) and targets (SPTs) aligned to Annex 19 and the SMM. This enables both the State and the service provider to monitor whether safety risk is actually being controlled, and to direct resources to the areas of greatest risk — the regular performance reviews called for in Action Item 60/8.</w:t>
      </w:r>
    </w:p>
    <w:p>
      <w:pPr>
        <w:spacing w:after="80" w:before="120"/>
      </w:pPr>
      <w:r>
        <w:rPr>
          <w:rFonts w:ascii="Times New Roman" w:cs="Times New Roman" w:eastAsia="Times New Roman" w:hAnsi="Times New Roman"/>
          <w:b/>
          <w:bCs/>
          <w:sz w:val="22"/>
          <w:szCs w:val="22"/>
        </w:rPr>
        <w:t xml:space="preserve">Civil–military data integration and regional data sharing</w:t>
      </w:r>
    </w:p>
    <w:p>
      <w:pPr>
        <w:tabs>
          <w:tab w:val="left" w:pos="720"/>
        </w:tabs>
        <w:spacing w:after="140"/>
        <w:ind w:left="720" w:hanging="720"/>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Action Item 60/8(b) highlighted civil-military data integration, and Action Items 60/3 and 60/16 the value of data sharing. In an archipelagic airspace with significant military activity, Indonesia recognises the safety value of civil-military coordination and data sharing, and supports the establishment of national mechanisms and protocols for this purpose. At regional level, Indonesia supports the Regional Data Sharing Initiative and the work of RASG-APAC/APRAST, on the principle that regional risks — runway safety, airspace infringement, controlled flight toward terrain precursors — are best understood from pooled, de-identified data.</w:t>
      </w:r>
    </w:p>
    <w:p>
      <w:pPr>
        <w:keepNext/>
        <w:spacing w:after="100" w:before="220"/>
      </w:pPr>
      <w:r>
        <w:rPr>
          <w:rFonts w:ascii="Times New Roman" w:cs="Times New Roman" w:eastAsia="Times New Roman" w:hAnsi="Times New Roman"/>
          <w:b/>
          <w:bCs/>
          <w:caps/>
          <w:sz w:val="22"/>
          <w:szCs w:val="22"/>
        </w:rPr>
        <w:t xml:space="preserve">3. Conclusion</w:t>
      </w:r>
    </w:p>
    <w:p>
      <w:pPr>
        <w:tabs>
          <w:tab w:val="left" w:pos="720"/>
        </w:tabs>
        <w:spacing w:after="140"/>
        <w:ind w:left="720" w:hanging="720"/>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The maturation of SMS from reactive to predictive rests on three interdependent foundations: quality safety data, a positive reporting culture that generates that data, and regional sharing that multiplies its value. Indonesia is advancing on all three and is committed to contributing to a stronger, data-driven regional safety system.</w:t>
      </w:r>
    </w:p>
    <w:p>
      <w:pPr>
        <w:keepNext/>
        <w:spacing w:after="100" w:before="220"/>
      </w:pPr>
      <w:r>
        <w:rPr>
          <w:rFonts w:ascii="Times New Roman" w:cs="Times New Roman" w:eastAsia="Times New Roman" w:hAnsi="Times New Roman"/>
          <w:b/>
          <w:bCs/>
          <w:caps/>
          <w:sz w:val="22"/>
          <w:szCs w:val="22"/>
        </w:rPr>
        <w:t xml:space="preserve">4. Action by the Conference</w:t>
      </w:r>
    </w:p>
    <w:p>
      <w:pPr>
        <w:tabs>
          <w:tab w:val="left" w:pos="720"/>
        </w:tabs>
        <w:spacing w:after="140"/>
        <w:ind w:left="720" w:hanging="720"/>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The Conference is invited to:</w:t>
      </w:r>
    </w:p>
    <w:p>
      <w:pPr>
        <w:tabs>
          <w:tab w:val="left" w:pos="1440"/>
        </w:tabs>
        <w:spacing w:after="100"/>
        <w:ind w:left="1440" w:hanging="48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note Indonesia’s progress in advancing its SMS toward predictive safety management, and its experience with safety data analytics, positive safety culture and safety performance monitoring;</w:t>
      </w:r>
    </w:p>
    <w:p>
      <w:pPr>
        <w:tabs>
          <w:tab w:val="left" w:pos="1440"/>
        </w:tabs>
        <w:spacing w:after="100"/>
        <w:ind w:left="1440" w:hanging="48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encourage States/Administrations to build the safety-data foundation — common definitions, data quality and governed integration — required for predictive safety management;</w:t>
      </w:r>
    </w:p>
    <w:p>
      <w:pPr>
        <w:tabs>
          <w:tab w:val="left" w:pos="1440"/>
        </w:tabs>
        <w:spacing w:after="100"/>
        <w:ind w:left="1440" w:hanging="48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encourage States/Administrations to invest in a Positive Safety Culture and just-culture reporting frameworks as the indispensable enabler of an effective SMS, and to share best practices under Action Item 60/4;</w:t>
      </w:r>
    </w:p>
    <w:p>
      <w:pPr>
        <w:tabs>
          <w:tab w:val="left" w:pos="1440"/>
        </w:tabs>
        <w:spacing w:after="100"/>
        <w:ind w:left="1440" w:hanging="48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encourage States/Administrations to adopt regular, data-informed safety performance reviews using SPIs/SPTs aligned to ICAO Annex 19; and</w:t>
      </w:r>
    </w:p>
    <w:p>
      <w:pPr>
        <w:tabs>
          <w:tab w:val="left" w:pos="1440"/>
        </w:tabs>
        <w:spacing w:after="100"/>
        <w:ind w:left="1440" w:hanging="480"/>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urge States/Administrations to participate in the Regional Data Sharing Initiative and to establish national civil-military safety data-sharing mechanisms, contributing to the work of RASG-APAC/APRAST.</w:t>
      </w:r>
    </w:p>
    <w:p>
      <w:pPr>
        <w:spacing w:before="240"/>
        <w:jc w:val="center"/>
      </w:pPr>
      <w:r>
        <w:rPr>
          <w:rFonts w:ascii="Times New Roman" w:cs="Times New Roman" w:eastAsia="Times New Roman" w:hAnsi="Times New Roman"/>
          <w:b/>
          <w:bCs/>
          <w:sz w:val="22"/>
          <w:szCs w:val="22"/>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AirNav Indonesia</dc:creator>
  <cp:lastModifiedBy>Un-named</cp:lastModifiedBy>
  <cp:revision>1</cp:revision>
  <dcterms:created xsi:type="dcterms:W3CDTF">2026-07-22T02:53:01.799Z</dcterms:created>
  <dcterms:modified xsi:type="dcterms:W3CDTF">2026-07-22T02:53:01.799Z</dcterms:modified>
</cp:coreProperties>
</file>

<file path=docProps/custom.xml><?xml version="1.0" encoding="utf-8"?>
<Properties xmlns="http://schemas.openxmlformats.org/officeDocument/2006/custom-properties" xmlns:vt="http://schemas.openxmlformats.org/officeDocument/2006/docPropsVTypes"/>
</file>