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sz w:val="22"/>
          <w:szCs w:val="22"/>
        </w:rPr>
        <w:t xml:space="preserve">61st Conference of Directors General of Civil Aviation</w:t>
      </w:r>
    </w:p>
    <w:p>
      <w:pPr>
        <w:spacing w:after="20"/>
        <w:jc w:val="center"/>
      </w:pPr>
      <w:r>
        <w:rPr>
          <w:rFonts w:ascii="Times New Roman" w:cs="Times New Roman" w:eastAsia="Times New Roman" w:hAnsi="Times New Roman"/>
          <w:sz w:val="22"/>
          <w:szCs w:val="22"/>
        </w:rPr>
        <w:t xml:space="preserve">Asia and Pacific Regions — Kuala Lumpur, Malaysia, 2026</w:t>
      </w:r>
    </w:p>
    <w:p>
      <w:pPr>
        <w:spacing w:after="160"/>
        <w:jc w:val="center"/>
      </w:pPr>
      <w:r>
        <w:rPr>
          <w:rFonts w:ascii="Times New Roman" w:cs="Times New Roman" w:eastAsia="Times New Roman" w:hAnsi="Times New Roman"/>
          <w:i/>
          <w:iCs/>
          <w:sz w:val="20"/>
          <w:szCs w:val="20"/>
        </w:rPr>
        <w:t xml:space="preserve">Theme: Smart Skies — Emerging Technologies for Safe, Secure, Sustainable and Efficient Aviation</w:t>
      </w:r>
    </w:p>
    <w:p>
      <w:pPr>
        <w:pBdr>
          <w:bottom w:val="single" w:color="000000" w:sz="6" w:space="1"/>
        </w:pBdr>
        <w:spacing w:after="60" w:before="60"/>
      </w:pPr>
      <w:r>
        <w:rPr>
          <w:rFonts w:ascii="Times New Roman" w:cs="Times New Roman" w:eastAsia="Times New Roman" w:hAnsi="Times New Roman"/>
          <w:sz w:val="22"/>
          <w:szCs w:val="22"/>
        </w:rPr>
        <w:t xml:space="preserve"/>
      </w:r>
    </w:p>
    <w:p>
      <w:pPr>
        <w:tabs>
          <w:tab w:val="right" w:pos="9026"/>
        </w:tabs>
        <w:spacing w:after="40"/>
      </w:pPr>
      <w:r>
        <w:rPr>
          <w:rFonts w:ascii="Times New Roman" w:cs="Times New Roman" w:eastAsia="Times New Roman" w:hAnsi="Times New Roman"/>
          <w:b/>
          <w:bCs/>
          <w:sz w:val="22"/>
          <w:szCs w:val="22"/>
        </w:rPr>
        <w:t xml:space="preserve">Agenda Item 4 — Air Navigation</w:t>
      </w:r>
      <w:r>
        <w:rPr>
          <w:rFonts w:ascii="Times New Roman" w:cs="Times New Roman" w:eastAsia="Times New Roman" w:hAnsi="Times New Roman"/>
          <w:b/>
          <w:bCs/>
          <w:sz w:val="22"/>
          <w:szCs w:val="22"/>
        </w:rPr>
        <w:t xml:space="preserve">	DGCA61/WP/xx</w:t>
      </w:r>
    </w:p>
    <w:p>
      <w:pPr>
        <w:tabs>
          <w:tab w:val="right" w:pos="9026"/>
        </w:tabs>
        <w:spacing w:after="60"/>
      </w:pPr>
      <w:r>
        <w:rPr>
          <w:rFonts w:ascii="Times New Roman" w:cs="Times New Roman" w:eastAsia="Times New Roman" w:hAnsi="Times New Roman"/>
          <w:sz w:val="22"/>
          <w:szCs w:val="22"/>
        </w:rPr>
        <w:t xml:space="preserve"/>
      </w:r>
      <w:r>
        <w:rPr>
          <w:rFonts w:ascii="Times New Roman" w:cs="Times New Roman" w:eastAsia="Times New Roman" w:hAnsi="Times New Roman"/>
          <w:sz w:val="22"/>
          <w:szCs w:val="22"/>
        </w:rPr>
        <w:t xml:space="preserve">	[Day Month] 2026</w:t>
      </w:r>
    </w:p>
    <w:p>
      <w:pPr>
        <w:pBdr>
          <w:bottom w:val="single" w:color="000000" w:sz="6" w:space="1"/>
        </w:pBdr>
        <w:spacing w:after="60" w:before="60"/>
      </w:pPr>
      <w:r>
        <w:rPr>
          <w:rFonts w:ascii="Times New Roman" w:cs="Times New Roman" w:eastAsia="Times New Roman" w:hAnsi="Times New Roman"/>
          <w:sz w:val="22"/>
          <w:szCs w:val="22"/>
        </w:rPr>
        <w:t xml:space="preserve"/>
      </w:r>
    </w:p>
    <w:p>
      <w:pPr>
        <w:spacing w:after="120" w:before="240"/>
        <w:jc w:val="center"/>
      </w:pPr>
      <w:r>
        <w:rPr>
          <w:rFonts w:ascii="Times New Roman" w:cs="Times New Roman" w:eastAsia="Times New Roman" w:hAnsi="Times New Roman"/>
          <w:b/>
          <w:bCs/>
          <w:sz w:val="24"/>
          <w:szCs w:val="24"/>
        </w:rPr>
        <w:t xml:space="preserve">ADVANCING SWIM-ENABLED FF-ICE AND TRAJECTORY BASED OPERATIONS IN THE ASIA/PACIFIC REGION: THE INDONESIAN EXPERIENCE</w:t>
      </w:r>
    </w:p>
    <w:p>
      <w:pPr>
        <w:spacing w:after="240"/>
        <w:jc w:val="center"/>
      </w:pPr>
      <w:r>
        <w:rPr>
          <w:rFonts w:ascii="Times New Roman" w:cs="Times New Roman" w:eastAsia="Times New Roman" w:hAnsi="Times New Roman"/>
          <w:b/>
          <w:bCs/>
          <w:sz w:val="22"/>
          <w:szCs w:val="22"/>
        </w:rPr>
        <w:t xml:space="preserve">(Presented by Indonesia)</w:t>
      </w:r>
    </w:p>
    <w:p>
      <w:pPr>
        <w:pBdr>
          <w:bottom w:val="single" w:color="000000" w:sz="6" w:space="1"/>
        </w:pBdr>
        <w:spacing w:after="60" w:before="60"/>
      </w:pPr>
      <w:r>
        <w:rPr>
          <w:rFonts w:ascii="Times New Roman" w:cs="Times New Roman" w:eastAsia="Times New Roman" w:hAnsi="Times New Roman"/>
          <w:sz w:val="22"/>
          <w:szCs w:val="22"/>
        </w:rPr>
        <w:t xml:space="preserve"/>
      </w:r>
    </w:p>
    <w:p>
      <w:pPr>
        <w:keepNext/>
        <w:spacing w:after="100" w:before="220"/>
      </w:pPr>
      <w:r>
        <w:rPr>
          <w:rFonts w:ascii="Times New Roman" w:cs="Times New Roman" w:eastAsia="Times New Roman" w:hAnsi="Times New Roman"/>
          <w:b/>
          <w:bCs/>
          <w:caps/>
          <w:sz w:val="22"/>
          <w:szCs w:val="22"/>
        </w:rPr>
        <w:t xml:space="preserve">Summary</w:t>
      </w:r>
    </w:p>
    <w:p>
      <w:pPr>
        <w:pBdr>
          <w:top w:val="single" w:color="000000" w:sz="4" w:space="8"/>
          <w:bottom w:val="single" w:color="000000" w:sz="4" w:space="8"/>
          <w:left w:val="single" w:color="000000" w:sz="4" w:space="12"/>
          <w:right w:val="single" w:color="000000" w:sz="4" w:space="12"/>
        </w:pBdr>
        <w:spacing w:after="60" w:before="120" w:line="276"/>
      </w:pPr>
      <w:r>
        <w:rPr>
          <w:rFonts w:ascii="Times New Roman" w:cs="Times New Roman" w:eastAsia="Times New Roman" w:hAnsi="Times New Roman"/>
          <w:sz w:val="22"/>
          <w:szCs w:val="22"/>
        </w:rPr>
        <w:t xml:space="preserve">This paper reports Indonesia’s progress in implementing System Wide Information Management (SWIM), Flight and Flow Information for a Collaborative Environment (FF-ICE) and Trajectory Based Operations (TBO), and shares practical lessons from AirNav Indonesia’s participation in the APAC TBO Pathfinder Project and the FF-ICE/R1 technical trial. It responds directly to Action Item 60/20 arising from the 60th DGCA Conference, which set the Asia/Pacific SWIM implementation timeframe at 2024–2030 and identified SWIM as the enabler for FF-ICE and TBO. The paper proposes concrete regional actions to accelerate harmonised, interoperable deployment.</w:t>
      </w:r>
    </w:p>
    <w:p>
      <w:pPr>
        <w:spacing w:after="160"/>
      </w:pPr>
      <w:r>
        <w:rPr>
          <w:rFonts w:ascii="Times New Roman" w:cs="Times New Roman" w:eastAsia="Times New Roman" w:hAnsi="Times New Roman"/>
          <w:i/>
          <w:iCs/>
          <w:sz w:val="22"/>
          <w:szCs w:val="22"/>
        </w:rPr>
        <w:t xml:space="preserve">Action by the Conference is at paragraph 4.</w:t>
      </w:r>
    </w:p>
    <w:p>
      <w:pPr>
        <w:spacing w:after="60"/>
      </w:pPr>
      <w:r>
        <w:rPr>
          <w:rFonts w:ascii="Times New Roman" w:cs="Times New Roman" w:eastAsia="Times New Roman" w:hAnsi="Times New Roman"/>
          <w:b/>
          <w:bCs/>
          <w:sz w:val="22"/>
          <w:szCs w:val="22"/>
        </w:rPr>
        <w:t xml:space="preserve">References:</w:t>
      </w:r>
    </w:p>
    <w:p>
      <w:pPr>
        <w:spacing w:after="40"/>
        <w:ind w:left="480" w:hanging="240"/>
      </w:pPr>
      <w:r>
        <w:rPr>
          <w:rFonts w:ascii="Times New Roman" w:cs="Times New Roman" w:eastAsia="Times New Roman" w:hAnsi="Times New Roman"/>
          <w:sz w:val="22"/>
          <w:szCs w:val="22"/>
        </w:rPr>
        <w:t xml:space="preserve">–	APAC DGCA60 Action Item 60/20 (SWIM implementation 2024–2030; FF-ICE, TBO)</w:t>
      </w:r>
    </w:p>
    <w:p>
      <w:pPr>
        <w:spacing w:after="40"/>
        <w:ind w:left="480" w:hanging="240"/>
      </w:pPr>
      <w:r>
        <w:rPr>
          <w:rFonts w:ascii="Times New Roman" w:cs="Times New Roman" w:eastAsia="Times New Roman" w:hAnsi="Times New Roman"/>
          <w:sz w:val="22"/>
          <w:szCs w:val="22"/>
        </w:rPr>
        <w:t xml:space="preserve">–	ICAO Doc 9965, Manual on FF-ICE; ICAO Doc 10039, Manual on SWIM Concept</w:t>
      </w:r>
    </w:p>
    <w:p>
      <w:pPr>
        <w:spacing w:after="40"/>
        <w:ind w:left="480" w:hanging="240"/>
      </w:pPr>
      <w:r>
        <w:rPr>
          <w:rFonts w:ascii="Times New Roman" w:cs="Times New Roman" w:eastAsia="Times New Roman" w:hAnsi="Times New Roman"/>
          <w:sz w:val="22"/>
          <w:szCs w:val="22"/>
        </w:rPr>
        <w:t xml:space="preserve">–	ICAO Global Air Navigation Plan (GANP), 7th Edition — ASBU threads FICE, SWIM, TBO</w:t>
      </w:r>
    </w:p>
    <w:p>
      <w:pPr>
        <w:spacing w:after="40"/>
        <w:ind w:left="480" w:hanging="240"/>
      </w:pPr>
      <w:r>
        <w:rPr>
          <w:rFonts w:ascii="Times New Roman" w:cs="Times New Roman" w:eastAsia="Times New Roman" w:hAnsi="Times New Roman"/>
          <w:sz w:val="22"/>
          <w:szCs w:val="22"/>
        </w:rPr>
        <w:t xml:space="preserve">–	APAC Seamless ANS Plan; APANPIRG conclusions on SWIM</w:t>
      </w:r>
    </w:p>
    <w:p>
      <w:pPr>
        <w:spacing w:after="40"/>
        <w:ind w:left="480" w:hanging="240"/>
      </w:pPr>
      <w:r>
        <w:rPr>
          <w:rFonts w:ascii="Times New Roman" w:cs="Times New Roman" w:eastAsia="Times New Roman" w:hAnsi="Times New Roman"/>
          <w:sz w:val="22"/>
          <w:szCs w:val="22"/>
        </w:rPr>
        <w:t xml:space="preserve">–	APAC Flight Trajectory Based Operations (TBO) Pathfinder Project</w:t>
      </w:r>
    </w:p>
    <w:p>
      <w:pPr>
        <w:spacing w:after="40" w:before="100"/>
      </w:pPr>
      <w:r>
        <w:rPr>
          <w:rFonts w:ascii="Times New Roman" w:cs="Times New Roman" w:eastAsia="Times New Roman" w:hAnsi="Times New Roman"/>
          <w:b/>
          <w:bCs/>
          <w:sz w:val="22"/>
          <w:szCs w:val="22"/>
        </w:rPr>
        <w:t xml:space="preserve">Strategic Objectives: </w:t>
      </w:r>
      <w:r>
        <w:rPr>
          <w:rFonts w:ascii="Times New Roman" w:cs="Times New Roman" w:eastAsia="Times New Roman" w:hAnsi="Times New Roman"/>
          <w:sz w:val="22"/>
          <w:szCs w:val="22"/>
        </w:rPr>
        <w:t xml:space="preserve">Air Navigation Capacity and Efficiency</w:t>
      </w:r>
    </w:p>
    <w:p>
      <w:pPr>
        <w:spacing w:after="120"/>
      </w:pPr>
      <w:r>
        <w:rPr>
          <w:rFonts w:ascii="Times New Roman" w:cs="Times New Roman" w:eastAsia="Times New Roman" w:hAnsi="Times New Roman"/>
          <w:b/>
          <w:bCs/>
          <w:sz w:val="22"/>
          <w:szCs w:val="22"/>
        </w:rPr>
        <w:t xml:space="preserve">Financial Implications: </w:t>
      </w:r>
      <w:r>
        <w:rPr>
          <w:rFonts w:ascii="Times New Roman" w:cs="Times New Roman" w:eastAsia="Times New Roman" w:hAnsi="Times New Roman"/>
          <w:sz w:val="22"/>
          <w:szCs w:val="22"/>
        </w:rPr>
        <w:t xml:space="preserve">Activities in this paper are to be undertaken within existing resources.</w:t>
      </w:r>
    </w:p>
    <w:p>
      <w:pPr>
        <w:pBdr>
          <w:bottom w:val="single" w:color="000000" w:sz="6" w:space="1"/>
        </w:pBdr>
        <w:spacing w:after="60" w:before="60"/>
      </w:pPr>
      <w:r>
        <w:rPr>
          <w:rFonts w:ascii="Times New Roman" w:cs="Times New Roman" w:eastAsia="Times New Roman" w:hAnsi="Times New Roman"/>
          <w:sz w:val="22"/>
          <w:szCs w:val="22"/>
        </w:rPr>
        <w:t xml:space="preserve"/>
      </w:r>
    </w:p>
    <w:p>
      <w:pPr>
        <w:keepNext/>
        <w:spacing w:after="100" w:before="220"/>
      </w:pPr>
      <w:r>
        <w:rPr>
          <w:rFonts w:ascii="Times New Roman" w:cs="Times New Roman" w:eastAsia="Times New Roman" w:hAnsi="Times New Roman"/>
          <w:b/>
          <w:bCs/>
          <w:caps/>
          <w:sz w:val="22"/>
          <w:szCs w:val="22"/>
        </w:rPr>
        <w:t xml:space="preserve">1. Introduction</w:t>
      </w:r>
    </w:p>
    <w:p>
      <w:pPr>
        <w:tabs>
          <w:tab w:val="left" w:pos="720"/>
        </w:tabs>
        <w:spacing w:after="140"/>
        <w:ind w:left="720" w:hanging="720"/>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The 60th DGCA Conference, through Action Item 60/20, noted that APANPIRG has set the Asia/Pacific SWIM implementation timeframe at 2024–2030, and acknowledged that SWIM is an enabler for current operations such as the regional ATFM network and for future operations such as FF-ICE and TBO. The Conference emphasised that SWIM implementation harmonised across the region is crucial to achieving region-wide benefits, and encouraged States to jointly build a regional and global information interoperability framework.</w:t>
      </w:r>
    </w:p>
    <w:p>
      <w:pPr>
        <w:tabs>
          <w:tab w:val="left" w:pos="720"/>
        </w:tabs>
        <w:spacing w:after="140"/>
        <w:ind w:left="720" w:hanging="720"/>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Indonesia manages one of the largest and fastest-growing airspace systems in the Asia/Pacific region, comprising the Jakarta and Ujung Pandang (Makassar) Flight Information Regions and a network of busy oceanic and continental traffic flows connecting South-East Asia, Australasia and the wider Pacific. The efficiency of these flows is directly dependent on the ability of States to share a common, trajectory-centric picture of demand.</w:t>
      </w:r>
    </w:p>
    <w:p>
      <w:pPr>
        <w:tabs>
          <w:tab w:val="left" w:pos="720"/>
        </w:tabs>
        <w:spacing w:after="140"/>
        <w:ind w:left="720" w:hanging="720"/>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AirNav Indonesia (Perum LPPNPI), as the national air navigation services provider, has adopted SWIM, FF-ICE and TBO as strategic priorities aligned to the ICAO Global Air Navigation Plan (GANP) Aviation System Block Upgrade (ASBU) threads and the APAC Seamless ANS Plan. This paper reports Indonesia’s progress and offers the region a set of practical, low-cost actions to sustain momentum toward the 2030 milestone.</w:t>
      </w:r>
    </w:p>
    <w:p>
      <w:pPr>
        <w:keepNext/>
        <w:spacing w:after="100" w:before="220"/>
      </w:pPr>
      <w:r>
        <w:rPr>
          <w:rFonts w:ascii="Times New Roman" w:cs="Times New Roman" w:eastAsia="Times New Roman" w:hAnsi="Times New Roman"/>
          <w:b/>
          <w:bCs/>
          <w:caps/>
          <w:sz w:val="22"/>
          <w:szCs w:val="22"/>
        </w:rPr>
        <w:t xml:space="preserve">2. Discussion</w:t>
      </w:r>
    </w:p>
    <w:p>
      <w:pPr>
        <w:spacing w:after="80" w:before="120"/>
      </w:pPr>
      <w:r>
        <w:rPr>
          <w:rFonts w:ascii="Times New Roman" w:cs="Times New Roman" w:eastAsia="Times New Roman" w:hAnsi="Times New Roman"/>
          <w:b/>
          <w:bCs/>
          <w:sz w:val="22"/>
          <w:szCs w:val="22"/>
        </w:rPr>
        <w:t xml:space="preserve">SWIM as the foundational enabler</w:t>
      </w:r>
    </w:p>
    <w:p>
      <w:pPr>
        <w:tabs>
          <w:tab w:val="left" w:pos="720"/>
        </w:tabs>
        <w:spacing w:after="140"/>
        <w:ind w:left="720" w:hanging="720"/>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SWIM replaces fragmented, point-to-point message exchange with governed, service-oriented information sharing built on common standards (information exchange models, a service registry and a shared infrastructure). Indonesia’s approach treats SWIM not as a single system but as a governance and interoperability layer, allowing the progressive on-boarding of aeronautical (AIM), meteorological (MET), flight and flow, and surveillance information as reusable services.</w:t>
      </w:r>
    </w:p>
    <w:p>
      <w:pPr>
        <w:tabs>
          <w:tab w:val="left" w:pos="720"/>
        </w:tabs>
        <w:spacing w:after="140"/>
        <w:ind w:left="720" w:hanging="720"/>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AirNav Indonesia is developing a national SWIM roadmap sequenced to the APAC 2024–2030 timeframe, prioritising: alignment of aeronautical and MET data to ICAO exchange models; establishment of a service registry and information governance regime; and staged connection to regional SWIM nodes to support the ASEAN and Bay of Bengal ATFM collaborations. The key lesson is that governance, data quality and a shared information reference model must mature before application-layer services deliver benefits.</w:t>
      </w:r>
    </w:p>
    <w:p>
      <w:pPr>
        <w:spacing w:after="80" w:before="120"/>
      </w:pPr>
      <w:r>
        <w:rPr>
          <w:rFonts w:ascii="Times New Roman" w:cs="Times New Roman" w:eastAsia="Times New Roman" w:hAnsi="Times New Roman"/>
          <w:b/>
          <w:bCs/>
          <w:sz w:val="22"/>
          <w:szCs w:val="22"/>
        </w:rPr>
        <w:t xml:space="preserve">FF-ICE — from filing to a collaborative flight object</w:t>
      </w:r>
    </w:p>
    <w:p>
      <w:pPr>
        <w:tabs>
          <w:tab w:val="left" w:pos="720"/>
        </w:tabs>
        <w:spacing w:after="140"/>
        <w:ind w:left="720" w:hanging="720"/>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FF-ICE shifts flight planning from the legacy 2012 flight plan format to a structured, machine-readable flight object exchanged over SWIM, enabling collaborative planning, validation and trajectory negotiation before and during flight. Indonesia participated in the APAC FF-ICE/Release 1 (FF-ICE/R1) technical trial hosted by VATM in Hanoi (May 2025), together with some 60 experts from regional ANSPs, and supported the subsequent FF-ICE/R1 laboratory demonstration. This engagement gave AirNav Indonesia direct, hands-on experience of filing, validation and planning services, message exchange patterns, and the practical interoperability challenges of aligning national systems to the FF-ICE provisions of ICAO Doc 9965.</w:t>
      </w:r>
    </w:p>
    <w:p>
      <w:pPr>
        <w:tabs>
          <w:tab w:val="left" w:pos="720"/>
        </w:tabs>
        <w:spacing w:after="140"/>
        <w:ind w:left="720" w:hanging="720"/>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The trial confirmed that the greatest near-term obstacles are not conceptual but practical: consistency of data quality, common time references, harmonised message implementation, and the readiness of legacy flight data processing systems to consume a structured flight object. These findings are directly transferable to other APAC States preparing for FF-ICE.</w:t>
      </w:r>
    </w:p>
    <w:p>
      <w:pPr>
        <w:spacing w:after="80" w:before="120"/>
      </w:pPr>
      <w:r>
        <w:rPr>
          <w:rFonts w:ascii="Times New Roman" w:cs="Times New Roman" w:eastAsia="Times New Roman" w:hAnsi="Times New Roman"/>
          <w:b/>
          <w:bCs/>
          <w:sz w:val="22"/>
          <w:szCs w:val="22"/>
        </w:rPr>
        <w:t xml:space="preserve">TBO — the operational goal</w:t>
      </w:r>
    </w:p>
    <w:p>
      <w:pPr>
        <w:tabs>
          <w:tab w:val="left" w:pos="720"/>
        </w:tabs>
        <w:spacing w:after="140"/>
        <w:ind w:left="720" w:hanging="720"/>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TBO uses the four-dimensional trajectory (4DT) — the flight’s path in space and time — as the single shared reference for planning and executing a flight, managed collaboratively across ANSPs, airspace users and airports. AirNav Indonesia is engaged in the APAC Flight Trajectory Based Operations (TBO) Pathfinder Project, which advances TBO through concrete city-pair and cross-border demonstrations rather than theory alone.</w:t>
      </w:r>
    </w:p>
    <w:p>
      <w:pPr>
        <w:tabs>
          <w:tab w:val="left" w:pos="720"/>
        </w:tabs>
        <w:spacing w:after="140"/>
        <w:ind w:left="720" w:hanging="720"/>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Indonesia’s assessment is that TBO delivers its greatest benefits on long, multi-FIR flows where small per-flight trajectory improvements aggregate into significant fuel, emissions and capacity gains. This aligns TBO squarely with the environmental objectives of Action Item 60/45 (ANS role in emissions reduction) and reinforces that air navigation modernisation and decarbonisation are mutually reinforcing.</w:t>
      </w:r>
    </w:p>
    <w:p>
      <w:pPr>
        <w:spacing w:after="80" w:before="120"/>
      </w:pPr>
      <w:r>
        <w:rPr>
          <w:rFonts w:ascii="Times New Roman" w:cs="Times New Roman" w:eastAsia="Times New Roman" w:hAnsi="Times New Roman"/>
          <w:b/>
          <w:bCs/>
          <w:sz w:val="22"/>
          <w:szCs w:val="22"/>
        </w:rPr>
        <w:t xml:space="preserve">Harmonisation and interoperability</w:t>
      </w:r>
    </w:p>
    <w:p>
      <w:pPr>
        <w:tabs>
          <w:tab w:val="left" w:pos="720"/>
        </w:tabs>
        <w:spacing w:after="140"/>
        <w:ind w:left="720" w:hanging="720"/>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The central risk to the 2024–2030 timeframe is fragmentation: States progressing at different speeds and adopting divergent interpretations of common standards, producing islands of capability that cannot interoperate. Indonesia’s experience in the FF-ICE trial demonstrates the value of shared laboratory environments and pathfinder demonstrations as low-cost mechanisms to converge implementations before national investment is committed.</w:t>
      </w:r>
    </w:p>
    <w:p>
      <w:pPr>
        <w:tabs>
          <w:tab w:val="left" w:pos="720"/>
        </w:tabs>
        <w:spacing w:after="140"/>
        <w:ind w:left="720" w:hanging="720"/>
      </w:pPr>
      <w:r>
        <w:rPr>
          <w:rFonts w:ascii="Times New Roman" w:cs="Times New Roman" w:eastAsia="Times New Roman" w:hAnsi="Times New Roman"/>
          <w:sz w:val="22"/>
          <w:szCs w:val="22"/>
        </w:rPr>
        <w:t xml:space="preserve">2.8	</w:t>
      </w:r>
      <w:r>
        <w:rPr>
          <w:rFonts w:ascii="Times New Roman" w:cs="Times New Roman" w:eastAsia="Times New Roman" w:hAnsi="Times New Roman"/>
          <w:sz w:val="22"/>
          <w:szCs w:val="22"/>
        </w:rPr>
        <w:t xml:space="preserve">Indonesia therefore supports strengthening the regional cadence of SWIM/FF-ICE/TBO seminars, trials and pathfinder activities coordinated by the ICAO APAC Regional Office, and offers to share its national roadmap, trial findings and lessons learned as a contribution to regional capacity building.</w:t>
      </w:r>
    </w:p>
    <w:p>
      <w:pPr>
        <w:keepNext/>
        <w:spacing w:after="100" w:before="220"/>
      </w:pPr>
      <w:r>
        <w:rPr>
          <w:rFonts w:ascii="Times New Roman" w:cs="Times New Roman" w:eastAsia="Times New Roman" w:hAnsi="Times New Roman"/>
          <w:b/>
          <w:bCs/>
          <w:caps/>
          <w:sz w:val="22"/>
          <w:szCs w:val="22"/>
        </w:rPr>
        <w:t xml:space="preserve">3. Conclusion</w:t>
      </w:r>
    </w:p>
    <w:p>
      <w:pPr>
        <w:tabs>
          <w:tab w:val="left" w:pos="720"/>
        </w:tabs>
        <w:spacing w:after="140"/>
        <w:ind w:left="720" w:hanging="720"/>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SWIM, FF-ICE and TBO are a single connected transformation, not three separate projects: SWIM provides the information backbone, FF-ICE provides the collaborative flight object, and TBO is the operational outcome. Indonesia has made tangible progress across all three and is committed to harmonised, interoperable implementation within the APAC 2024–2030 timeframe.</w:t>
      </w:r>
    </w:p>
    <w:p>
      <w:pPr>
        <w:keepNext/>
        <w:spacing w:after="100" w:before="220"/>
      </w:pPr>
      <w:r>
        <w:rPr>
          <w:rFonts w:ascii="Times New Roman" w:cs="Times New Roman" w:eastAsia="Times New Roman" w:hAnsi="Times New Roman"/>
          <w:b/>
          <w:bCs/>
          <w:caps/>
          <w:sz w:val="22"/>
          <w:szCs w:val="22"/>
        </w:rPr>
        <w:t xml:space="preserve">4. Action by the Conference</w:t>
      </w:r>
    </w:p>
    <w:p>
      <w:pPr>
        <w:tabs>
          <w:tab w:val="left" w:pos="720"/>
        </w:tabs>
        <w:spacing w:after="140"/>
        <w:ind w:left="720" w:hanging="720"/>
      </w:pPr>
      <w:r>
        <w:rPr>
          <w:rFonts w:ascii="Times New Roman" w:cs="Times New Roman" w:eastAsia="Times New Roman" w:hAnsi="Times New Roman"/>
          <w:sz w:val="22"/>
          <w:szCs w:val="22"/>
        </w:rPr>
        <w:t xml:space="preserve">4.1	</w:t>
      </w:r>
      <w:r>
        <w:rPr>
          <w:rFonts w:ascii="Times New Roman" w:cs="Times New Roman" w:eastAsia="Times New Roman" w:hAnsi="Times New Roman"/>
          <w:sz w:val="22"/>
          <w:szCs w:val="22"/>
        </w:rPr>
        <w:t xml:space="preserve">The Conference is invited to:</w:t>
      </w:r>
    </w:p>
    <w:p>
      <w:pPr>
        <w:tabs>
          <w:tab w:val="left" w:pos="1440"/>
        </w:tabs>
        <w:spacing w:after="100"/>
        <w:ind w:left="1440" w:hanging="48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note the progress reported by Indonesia in implementing SWIM, FF-ICE and TBO, and its participation in the APAC TBO Pathfinder Project and FF-ICE/R1 technical trial;</w:t>
      </w:r>
    </w:p>
    <w:p>
      <w:pPr>
        <w:tabs>
          <w:tab w:val="left" w:pos="1440"/>
        </w:tabs>
        <w:spacing w:after="100"/>
        <w:ind w:left="1440" w:hanging="48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encourage States/Administrations to sequence national SWIM roadmaps to the APAC 2024–2030 timeframe, prioritising information governance, data quality and adoption of ICAO exchange models before application-layer services;</w:t>
      </w:r>
    </w:p>
    <w:p>
      <w:pPr>
        <w:tabs>
          <w:tab w:val="left" w:pos="1440"/>
        </w:tabs>
        <w:spacing w:after="100"/>
        <w:ind w:left="1440" w:hanging="48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encourage States/Administrations to participate in regional FF-ICE/TBO trials, laboratory demonstrations and pathfinder activities as low-cost means of converging implementations and reducing investment risk;</w:t>
      </w:r>
    </w:p>
    <w:p>
      <w:pPr>
        <w:tabs>
          <w:tab w:val="left" w:pos="1440"/>
        </w:tabs>
        <w:spacing w:after="100"/>
        <w:ind w:left="1440" w:hanging="48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invite States/Administrations to share national roadmaps, trial findings and lessons learned through the ICAO APAC Regional Office; and</w:t>
      </w:r>
    </w:p>
    <w:p>
      <w:pPr>
        <w:tabs>
          <w:tab w:val="left" w:pos="1440"/>
        </w:tabs>
        <w:spacing w:after="100"/>
        <w:ind w:left="1440" w:hanging="480"/>
      </w:pPr>
      <w:r>
        <w:rPr>
          <w:rFonts w:ascii="Times New Roman" w:cs="Times New Roman" w:eastAsia="Times New Roman" w:hAnsi="Times New Roman"/>
          <w:sz w:val="22"/>
          <w:szCs w:val="22"/>
        </w:rPr>
        <w:t xml:space="preserve">e)	</w:t>
      </w:r>
      <w:r>
        <w:rPr>
          <w:rFonts w:ascii="Times New Roman" w:cs="Times New Roman" w:eastAsia="Times New Roman" w:hAnsi="Times New Roman"/>
          <w:sz w:val="22"/>
          <w:szCs w:val="22"/>
        </w:rPr>
        <w:t xml:space="preserve">urge the ICAO APAC Regional Office to sustain the cadence of SWIM/FF-ICE/TBO seminars, workshops and trials to safeguard regional harmonisation toward the 2030 milestone.</w:t>
      </w:r>
    </w:p>
    <w:p>
      <w:pPr>
        <w:spacing w:before="240"/>
        <w:jc w:val="center"/>
      </w:pPr>
      <w:r>
        <w:rPr>
          <w:rFonts w:ascii="Times New Roman" w:cs="Times New Roman" w:eastAsia="Times New Roman" w:hAnsi="Times New Roman"/>
          <w:b/>
          <w:bCs/>
          <w:sz w:val="22"/>
          <w:szCs w:val="22"/>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AirNav Indonesia</dc:creator>
  <cp:lastModifiedBy>Un-named</cp:lastModifiedBy>
  <cp:revision>1</cp:revision>
  <dcterms:created xsi:type="dcterms:W3CDTF">2026-07-22T02:53:01.750Z</dcterms:created>
  <dcterms:modified xsi:type="dcterms:W3CDTF">2026-07-22T02:53:01.750Z</dcterms:modified>
</cp:coreProperties>
</file>

<file path=docProps/custom.xml><?xml version="1.0" encoding="utf-8"?>
<Properties xmlns="http://schemas.openxmlformats.org/officeDocument/2006/custom-properties" xmlns:vt="http://schemas.openxmlformats.org/officeDocument/2006/docPropsVTypes"/>
</file>