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highlight w:val="white"/>
                <w:rtl w:val="0"/>
              </w:rPr>
              <w:t xml:space="preserve">SWTID-2026-3946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BlogNest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 with name, email and password.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Authenticate email/password and issue JWT token.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User Profile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Return authenticated user's id, name and email.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Blog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Create, retrieve all, retrieve by ID, update and delete blogs.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AI Blog Generation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Generate 100–150 word blog content using Gemini and save to PostgreSQL.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AI Summarization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Generate a short summary using Gemini.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Clear REST endpoints, JSON requests and JSON responses.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bcrypt password hashing, JWT authentication, protected routes, parameterized SQL and validation.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 and centralized error middleware.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PostgreSQL connection pooling and parameterized SQL.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Current version runs locally while the Node.js server is running.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Separated routes, controllers, middleware, services and database configuration.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Scope note: Gmail/LinkedIn registration, OTP confirmation, comments, media uploads, scheduling, roles/RBAC, likes and analytics are not implemented in the current project.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elFvCx4TZC7353tQ5DOpR+1R9A==">CgMxLjA4AHIhMVhLSUttVl94LTcwYVB3dkZCV2JfTnFpV1BiaVg0YVBs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